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8CF39" w14:textId="77777777" w:rsidR="00060E28" w:rsidRDefault="00060E28"/>
    <w:p w14:paraId="77D2A541" w14:textId="77777777" w:rsidR="00060E28" w:rsidRDefault="00AE66FF">
      <w:r>
        <w:rPr>
          <w:sz w:val="18"/>
        </w:rPr>
        <w:tab/>
      </w:r>
    </w:p>
    <w:p w14:paraId="671AAFDD" w14:textId="77777777" w:rsidR="00060E28" w:rsidRDefault="00060E28"/>
    <w:p w14:paraId="05D997DE" w14:textId="77777777" w:rsidR="00060E28" w:rsidRDefault="00060E28"/>
    <w:p w14:paraId="07A3C651" w14:textId="77777777" w:rsidR="00060E28" w:rsidRDefault="00060E28"/>
    <w:p w14:paraId="30FBBA6A" w14:textId="77777777" w:rsidR="00060E28" w:rsidRDefault="00060E28"/>
    <w:p w14:paraId="442B35B2" w14:textId="77777777" w:rsidR="00060E28" w:rsidRDefault="00AE66FF">
      <w:r>
        <w:rPr>
          <w:lang w:val="fr-FR"/>
        </w:rPr>
        <w:t>Cahier des charges</w:t>
      </w:r>
    </w:p>
    <w:p w14:paraId="48B7C88D" w14:textId="77777777" w:rsidR="00060E28" w:rsidRDefault="00060E28"/>
    <w:p w14:paraId="4D95AFB9" w14:textId="77777777" w:rsidR="00060E28" w:rsidRDefault="00AE66FF">
      <w:r>
        <w:rPr>
          <w:b/>
          <w:sz w:val="52"/>
          <w:lang w:val="fr-FR"/>
        </w:rPr>
        <w:t>Instrumentation innovante pour surveiller la durabilité des ouvrages portuaires en béton armé</w:t>
      </w:r>
    </w:p>
    <w:p w14:paraId="028338A2" w14:textId="77777777" w:rsidR="00060E28" w:rsidRDefault="00060E28"/>
    <w:p w14:paraId="7F204BF4" w14:textId="77777777" w:rsidR="00060E28" w:rsidRDefault="00AE66FF">
      <w:r>
        <w:rPr>
          <w:sz w:val="36"/>
          <w:lang w:val="fr-FR"/>
        </w:rPr>
        <w:t>Convention Région Bretagne CEREMA</w:t>
      </w:r>
    </w:p>
    <w:p w14:paraId="150EDD2F" w14:textId="77777777" w:rsidR="00060E28" w:rsidRDefault="00060E28"/>
    <w:p w14:paraId="7648231F" w14:textId="77777777" w:rsidR="00060E28" w:rsidRDefault="00060E28"/>
    <w:p w14:paraId="48784E4D" w14:textId="77777777" w:rsidR="00060E28" w:rsidRDefault="00060E28"/>
    <w:p w14:paraId="4A60CB7F" w14:textId="77777777" w:rsidR="00060E28" w:rsidRDefault="00060E28"/>
    <w:p w14:paraId="7E6B93B6" w14:textId="77777777" w:rsidR="00060E28" w:rsidRDefault="00060E28"/>
    <w:p w14:paraId="000E9F63" w14:textId="77777777" w:rsidR="00060E28" w:rsidRDefault="00060E28"/>
    <w:p w14:paraId="4C054C97" w14:textId="77777777" w:rsidR="00060E28" w:rsidRDefault="00060E28"/>
    <w:p w14:paraId="02581C78" w14:textId="77777777" w:rsidR="00060E28" w:rsidRDefault="00060E28"/>
    <w:p w14:paraId="0948E005" w14:textId="77777777" w:rsidR="00060E28" w:rsidRDefault="00060E28"/>
    <w:p w14:paraId="4BC6CAAD" w14:textId="77777777" w:rsidR="00060E28" w:rsidRDefault="00060E28"/>
    <w:p w14:paraId="245A3BC9" w14:textId="77777777" w:rsidR="00060E28" w:rsidRDefault="00060E28"/>
    <w:p w14:paraId="34B45C9F" w14:textId="77777777" w:rsidR="00060E28" w:rsidRDefault="00060E28"/>
    <w:p w14:paraId="065207FF" w14:textId="77777777" w:rsidR="00060E28" w:rsidRDefault="00060E28"/>
    <w:p w14:paraId="14097903" w14:textId="77777777" w:rsidR="00060E28" w:rsidRDefault="00060E28"/>
    <w:p w14:paraId="4A74247B" w14:textId="77777777" w:rsidR="00060E28" w:rsidRDefault="00060E28"/>
    <w:p w14:paraId="64A86BF5" w14:textId="77777777" w:rsidR="00060E28" w:rsidRDefault="00AE66FF">
      <w:proofErr w:type="spellStart"/>
      <w:r>
        <w:rPr>
          <w:b/>
          <w:sz w:val="21"/>
        </w:rPr>
        <w:t>Référent</w:t>
      </w:r>
      <w:proofErr w:type="spellEnd"/>
      <w:r>
        <w:rPr>
          <w:b/>
          <w:sz w:val="21"/>
        </w:rPr>
        <w:t xml:space="preserve"> du dossier</w:t>
      </w:r>
      <w:r>
        <w:rPr>
          <w:sz w:val="21"/>
        </w:rPr>
        <w:t xml:space="preserve">: </w:t>
      </w:r>
      <w:proofErr w:type="spellStart"/>
      <w:r>
        <w:rPr>
          <w:sz w:val="21"/>
        </w:rPr>
        <w:t>Région</w:t>
      </w:r>
      <w:proofErr w:type="spellEnd"/>
      <w:r>
        <w:rPr>
          <w:sz w:val="21"/>
        </w:rPr>
        <w:t xml:space="preserve"> Bretagne - Direction des Ports – Service </w:t>
      </w:r>
      <w:proofErr w:type="spellStart"/>
      <w:r>
        <w:rPr>
          <w:sz w:val="21"/>
        </w:rPr>
        <w:t>ingénierie</w:t>
      </w:r>
      <w:proofErr w:type="spellEnd"/>
    </w:p>
    <w:p w14:paraId="2C4277B6" w14:textId="77777777" w:rsidR="00060E28" w:rsidRDefault="00AE66FF">
      <w:r>
        <w:rPr>
          <w:sz w:val="21"/>
        </w:rPr>
        <w:t xml:space="preserve">Affaire </w:t>
      </w:r>
      <w:proofErr w:type="spellStart"/>
      <w:r>
        <w:rPr>
          <w:sz w:val="21"/>
        </w:rPr>
        <w:t>suivie</w:t>
      </w:r>
      <w:proofErr w:type="spellEnd"/>
      <w:r>
        <w:rPr>
          <w:sz w:val="21"/>
        </w:rPr>
        <w:t xml:space="preserve"> par Laurence </w:t>
      </w:r>
      <w:proofErr w:type="spellStart"/>
      <w:r>
        <w:rPr>
          <w:sz w:val="21"/>
        </w:rPr>
        <w:t>Barrere</w:t>
      </w:r>
      <w:proofErr w:type="spellEnd"/>
      <w:r>
        <w:rPr>
          <w:sz w:val="21"/>
        </w:rPr>
        <w:t xml:space="preserve"> - laurence.barrere@bretagne.bzh</w:t>
      </w:r>
    </w:p>
    <w:p w14:paraId="0CF75591" w14:textId="77777777" w:rsidR="00060E28" w:rsidRDefault="00060E28"/>
    <w:p w14:paraId="079A43FE" w14:textId="77777777" w:rsidR="00060E28" w:rsidRDefault="00AE66FF">
      <w:proofErr w:type="spellStart"/>
      <w:r>
        <w:t>Référent</w:t>
      </w:r>
      <w:proofErr w:type="spellEnd"/>
      <w:r>
        <w:t xml:space="preserve"> technique CEREMA</w:t>
      </w:r>
    </w:p>
    <w:p w14:paraId="442F101C" w14:textId="77777777" w:rsidR="00060E28" w:rsidRDefault="00AE66FF">
      <w:r>
        <w:t xml:space="preserve">Affaire </w:t>
      </w:r>
      <w:proofErr w:type="spellStart"/>
      <w:r>
        <w:t>suivie</w:t>
      </w:r>
      <w:proofErr w:type="spellEnd"/>
      <w:r>
        <w:t xml:space="preserve"> par </w:t>
      </w:r>
      <w:r>
        <w:tab/>
        <w:t xml:space="preserve">Jacques </w:t>
      </w:r>
      <w:proofErr w:type="spellStart"/>
      <w:r>
        <w:t>Pottier</w:t>
      </w:r>
      <w:proofErr w:type="spellEnd"/>
      <w:r>
        <w:t xml:space="preserve"> – </w:t>
      </w:r>
      <w:hyperlink r:id="rId7" w:history="1">
        <w:r>
          <w:rPr>
            <w:rStyle w:val="Internetlink0"/>
          </w:rPr>
          <w:t>jacques.pottier@cerema.fr</w:t>
        </w:r>
      </w:hyperlink>
    </w:p>
    <w:p w14:paraId="5C89DBC9" w14:textId="77777777" w:rsidR="00060E28" w:rsidRDefault="00AE66FF">
      <w:pPr>
        <w:sectPr w:rsidR="00060E28">
          <w:headerReference w:type="even" r:id="rId8"/>
          <w:headerReference w:type="default" r:id="rId9"/>
          <w:footerReference w:type="even" r:id="rId10"/>
          <w:footerReference w:type="default" r:id="rId11"/>
          <w:pgSz w:w="11900" w:h="16838"/>
          <w:pgMar w:top="1705" w:right="871" w:bottom="1048" w:left="964" w:header="964" w:footer="964" w:gutter="0"/>
          <w:cols w:space="720"/>
        </w:sectPr>
      </w:pPr>
      <w:r>
        <w:tab/>
      </w:r>
      <w:r>
        <w:tab/>
      </w:r>
      <w:r>
        <w:tab/>
        <w:t xml:space="preserve">Benoit </w:t>
      </w:r>
      <w:proofErr w:type="spellStart"/>
      <w:r>
        <w:t>Thauvin</w:t>
      </w:r>
      <w:proofErr w:type="spellEnd"/>
      <w:r>
        <w:t xml:space="preserve"> – </w:t>
      </w:r>
      <w:hyperlink r:id="rId12" w:history="1">
        <w:r>
          <w:rPr>
            <w:rStyle w:val="Internetlink0"/>
          </w:rPr>
          <w:t>benoit.thauvin@cerema.fr</w:t>
        </w:r>
      </w:hyperlink>
    </w:p>
    <w:p w14:paraId="2FC19127" w14:textId="77777777" w:rsidR="00060E28" w:rsidRDefault="00060E28"/>
    <w:p w14:paraId="2FEA448F" w14:textId="77777777" w:rsidR="00060E28" w:rsidRDefault="00060E28"/>
    <w:p w14:paraId="4954EF0D" w14:textId="77777777" w:rsidR="00060E28" w:rsidRDefault="00060E28">
      <w:pPr>
        <w:pStyle w:val="TM1"/>
        <w:tabs>
          <w:tab w:val="left" w:pos="658"/>
          <w:tab w:val="right" w:leader="dot" w:pos="10063"/>
        </w:tabs>
      </w:pPr>
    </w:p>
    <w:p w14:paraId="60F8F865" w14:textId="156658BC" w:rsidR="004163ED" w:rsidRDefault="00AE66FF">
      <w:pPr>
        <w:pStyle w:val="TM1"/>
        <w:tabs>
          <w:tab w:val="left" w:pos="1134"/>
          <w:tab w:val="right" w:leader="dot" w:pos="10053"/>
        </w:tabs>
        <w:rPr>
          <w:rFonts w:asciiTheme="minorHAnsi" w:eastAsiaTheme="minorEastAsia" w:hAnsiTheme="minorHAnsi" w:cstheme="minorBidi"/>
          <w:b w:val="0"/>
          <w:i w:val="0"/>
          <w:noProof/>
          <w:color w:val="auto"/>
          <w:kern w:val="0"/>
          <w:sz w:val="22"/>
          <w:lang w:val="fr-FR"/>
        </w:rPr>
      </w:pPr>
      <w:r>
        <w:rPr>
          <w:i w:val="0"/>
          <w:color w:val="000080"/>
          <w:u w:val="single"/>
        </w:rPr>
        <w:fldChar w:fldCharType="begin"/>
      </w:r>
      <w:r>
        <w:instrText xml:space="preserve"> TOC \o "1-9" \u \l 1-9 </w:instrText>
      </w:r>
      <w:r>
        <w:rPr>
          <w:i w:val="0"/>
          <w:color w:val="000080"/>
          <w:u w:val="single"/>
        </w:rPr>
        <w:fldChar w:fldCharType="separate"/>
      </w:r>
      <w:r w:rsidR="004163ED">
        <w:rPr>
          <w:noProof/>
        </w:rPr>
        <w:t>1.</w:t>
      </w:r>
      <w:r w:rsidR="004163ED">
        <w:rPr>
          <w:rFonts w:asciiTheme="minorHAnsi" w:eastAsiaTheme="minorEastAsia" w:hAnsiTheme="minorHAnsi" w:cstheme="minorBidi"/>
          <w:b w:val="0"/>
          <w:i w:val="0"/>
          <w:noProof/>
          <w:color w:val="auto"/>
          <w:kern w:val="0"/>
          <w:sz w:val="22"/>
          <w:lang w:val="fr-FR"/>
        </w:rPr>
        <w:tab/>
      </w:r>
      <w:r w:rsidR="004163ED">
        <w:rPr>
          <w:noProof/>
        </w:rPr>
        <w:t>Préambule</w:t>
      </w:r>
      <w:r w:rsidR="004163ED">
        <w:rPr>
          <w:noProof/>
        </w:rPr>
        <w:tab/>
      </w:r>
      <w:r w:rsidR="004163ED">
        <w:rPr>
          <w:noProof/>
        </w:rPr>
        <w:fldChar w:fldCharType="begin"/>
      </w:r>
      <w:r w:rsidR="004163ED">
        <w:rPr>
          <w:noProof/>
        </w:rPr>
        <w:instrText xml:space="preserve"> PAGEREF _Toc100582402 \h </w:instrText>
      </w:r>
      <w:r w:rsidR="004163ED">
        <w:rPr>
          <w:noProof/>
        </w:rPr>
      </w:r>
      <w:r w:rsidR="004163ED">
        <w:rPr>
          <w:noProof/>
        </w:rPr>
        <w:fldChar w:fldCharType="separate"/>
      </w:r>
      <w:r w:rsidR="004163ED">
        <w:rPr>
          <w:noProof/>
        </w:rPr>
        <w:t>3</w:t>
      </w:r>
      <w:r w:rsidR="004163ED">
        <w:rPr>
          <w:noProof/>
        </w:rPr>
        <w:fldChar w:fldCharType="end"/>
      </w:r>
    </w:p>
    <w:p w14:paraId="4A5E2D55" w14:textId="7A78358F"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1.1</w:t>
      </w:r>
      <w:r>
        <w:rPr>
          <w:rFonts w:asciiTheme="minorHAnsi" w:eastAsiaTheme="minorEastAsia" w:hAnsiTheme="minorHAnsi" w:cstheme="minorBidi"/>
          <w:b w:val="0"/>
          <w:noProof/>
          <w:color w:val="auto"/>
          <w:kern w:val="0"/>
          <w:lang w:val="fr-FR"/>
        </w:rPr>
        <w:tab/>
      </w:r>
      <w:r>
        <w:rPr>
          <w:noProof/>
        </w:rPr>
        <w:t>Instrumentation</w:t>
      </w:r>
      <w:r>
        <w:rPr>
          <w:noProof/>
        </w:rPr>
        <w:tab/>
      </w:r>
      <w:r>
        <w:rPr>
          <w:noProof/>
        </w:rPr>
        <w:fldChar w:fldCharType="begin"/>
      </w:r>
      <w:r>
        <w:rPr>
          <w:noProof/>
        </w:rPr>
        <w:instrText xml:space="preserve"> PAGEREF _Toc100582403 \h </w:instrText>
      </w:r>
      <w:r>
        <w:rPr>
          <w:noProof/>
        </w:rPr>
      </w:r>
      <w:r>
        <w:rPr>
          <w:noProof/>
        </w:rPr>
        <w:fldChar w:fldCharType="separate"/>
      </w:r>
      <w:r>
        <w:rPr>
          <w:noProof/>
        </w:rPr>
        <w:t>3</w:t>
      </w:r>
      <w:r>
        <w:rPr>
          <w:noProof/>
        </w:rPr>
        <w:fldChar w:fldCharType="end"/>
      </w:r>
    </w:p>
    <w:p w14:paraId="19FDEC46" w14:textId="3117415D"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1.2</w:t>
      </w:r>
      <w:r>
        <w:rPr>
          <w:rFonts w:asciiTheme="minorHAnsi" w:eastAsiaTheme="minorEastAsia" w:hAnsiTheme="minorHAnsi" w:cstheme="minorBidi"/>
          <w:b w:val="0"/>
          <w:noProof/>
          <w:color w:val="auto"/>
          <w:kern w:val="0"/>
          <w:lang w:val="fr-FR"/>
        </w:rPr>
        <w:tab/>
      </w:r>
      <w:r w:rsidRPr="001B098E">
        <w:rPr>
          <w:noProof/>
          <w:lang w:val="fr-FR"/>
        </w:rPr>
        <w:t>Contexte portuaire</w:t>
      </w:r>
      <w:r>
        <w:rPr>
          <w:noProof/>
        </w:rPr>
        <w:tab/>
      </w:r>
      <w:r>
        <w:rPr>
          <w:noProof/>
        </w:rPr>
        <w:fldChar w:fldCharType="begin"/>
      </w:r>
      <w:r>
        <w:rPr>
          <w:noProof/>
        </w:rPr>
        <w:instrText xml:space="preserve"> PAGEREF _Toc100582404 \h </w:instrText>
      </w:r>
      <w:r>
        <w:rPr>
          <w:noProof/>
        </w:rPr>
      </w:r>
      <w:r>
        <w:rPr>
          <w:noProof/>
        </w:rPr>
        <w:fldChar w:fldCharType="separate"/>
      </w:r>
      <w:r>
        <w:rPr>
          <w:noProof/>
        </w:rPr>
        <w:t>4</w:t>
      </w:r>
      <w:r>
        <w:rPr>
          <w:noProof/>
        </w:rPr>
        <w:fldChar w:fldCharType="end"/>
      </w:r>
    </w:p>
    <w:p w14:paraId="3D5DFD77" w14:textId="0157878B" w:rsidR="004163ED" w:rsidRDefault="004163ED">
      <w:pPr>
        <w:pStyle w:val="TM1"/>
        <w:tabs>
          <w:tab w:val="left" w:pos="1134"/>
          <w:tab w:val="right" w:leader="dot" w:pos="10053"/>
        </w:tabs>
        <w:rPr>
          <w:rFonts w:asciiTheme="minorHAnsi" w:eastAsiaTheme="minorEastAsia" w:hAnsiTheme="minorHAnsi" w:cstheme="minorBidi"/>
          <w:b w:val="0"/>
          <w:i w:val="0"/>
          <w:noProof/>
          <w:color w:val="auto"/>
          <w:kern w:val="0"/>
          <w:sz w:val="22"/>
          <w:lang w:val="fr-FR"/>
        </w:rPr>
      </w:pPr>
      <w:r>
        <w:rPr>
          <w:noProof/>
        </w:rPr>
        <w:t>2.</w:t>
      </w:r>
      <w:r>
        <w:rPr>
          <w:rFonts w:asciiTheme="minorHAnsi" w:eastAsiaTheme="minorEastAsia" w:hAnsiTheme="minorHAnsi" w:cstheme="minorBidi"/>
          <w:b w:val="0"/>
          <w:i w:val="0"/>
          <w:noProof/>
          <w:color w:val="auto"/>
          <w:kern w:val="0"/>
          <w:sz w:val="22"/>
          <w:lang w:val="fr-FR"/>
        </w:rPr>
        <w:tab/>
      </w:r>
      <w:r>
        <w:rPr>
          <w:noProof/>
        </w:rPr>
        <w:t>Objectifs de l’appel à projets</w:t>
      </w:r>
      <w:r>
        <w:rPr>
          <w:noProof/>
        </w:rPr>
        <w:tab/>
      </w:r>
      <w:r>
        <w:rPr>
          <w:noProof/>
        </w:rPr>
        <w:fldChar w:fldCharType="begin"/>
      </w:r>
      <w:r>
        <w:rPr>
          <w:noProof/>
        </w:rPr>
        <w:instrText xml:space="preserve"> PAGEREF _Toc100582405 \h </w:instrText>
      </w:r>
      <w:r>
        <w:rPr>
          <w:noProof/>
        </w:rPr>
      </w:r>
      <w:r>
        <w:rPr>
          <w:noProof/>
        </w:rPr>
        <w:fldChar w:fldCharType="separate"/>
      </w:r>
      <w:r>
        <w:rPr>
          <w:noProof/>
        </w:rPr>
        <w:t>4</w:t>
      </w:r>
      <w:r>
        <w:rPr>
          <w:noProof/>
        </w:rPr>
        <w:fldChar w:fldCharType="end"/>
      </w:r>
    </w:p>
    <w:p w14:paraId="59D1955F" w14:textId="7D95A90E" w:rsidR="004163ED" w:rsidRDefault="004163ED">
      <w:pPr>
        <w:pStyle w:val="TM1"/>
        <w:tabs>
          <w:tab w:val="left" w:pos="1134"/>
          <w:tab w:val="right" w:leader="dot" w:pos="10053"/>
        </w:tabs>
        <w:rPr>
          <w:rFonts w:asciiTheme="minorHAnsi" w:eastAsiaTheme="minorEastAsia" w:hAnsiTheme="minorHAnsi" w:cstheme="minorBidi"/>
          <w:b w:val="0"/>
          <w:i w:val="0"/>
          <w:noProof/>
          <w:color w:val="auto"/>
          <w:kern w:val="0"/>
          <w:sz w:val="22"/>
          <w:lang w:val="fr-FR"/>
        </w:rPr>
      </w:pPr>
      <w:r>
        <w:rPr>
          <w:noProof/>
        </w:rPr>
        <w:t>3.</w:t>
      </w:r>
      <w:r>
        <w:rPr>
          <w:rFonts w:asciiTheme="minorHAnsi" w:eastAsiaTheme="minorEastAsia" w:hAnsiTheme="minorHAnsi" w:cstheme="minorBidi"/>
          <w:b w:val="0"/>
          <w:i w:val="0"/>
          <w:noProof/>
          <w:color w:val="auto"/>
          <w:kern w:val="0"/>
          <w:sz w:val="22"/>
          <w:lang w:val="fr-FR"/>
        </w:rPr>
        <w:tab/>
      </w:r>
      <w:r>
        <w:rPr>
          <w:noProof/>
        </w:rPr>
        <w:t>Champs et périmètre de l’appel à projet</w:t>
      </w:r>
      <w:r>
        <w:rPr>
          <w:noProof/>
        </w:rPr>
        <w:tab/>
      </w:r>
      <w:r>
        <w:rPr>
          <w:noProof/>
        </w:rPr>
        <w:fldChar w:fldCharType="begin"/>
      </w:r>
      <w:r>
        <w:rPr>
          <w:noProof/>
        </w:rPr>
        <w:instrText xml:space="preserve"> PAGEREF _Toc100582406 \h </w:instrText>
      </w:r>
      <w:r>
        <w:rPr>
          <w:noProof/>
        </w:rPr>
      </w:r>
      <w:r>
        <w:rPr>
          <w:noProof/>
        </w:rPr>
        <w:fldChar w:fldCharType="separate"/>
      </w:r>
      <w:r>
        <w:rPr>
          <w:noProof/>
        </w:rPr>
        <w:t>4</w:t>
      </w:r>
      <w:r>
        <w:rPr>
          <w:noProof/>
        </w:rPr>
        <w:fldChar w:fldCharType="end"/>
      </w:r>
    </w:p>
    <w:p w14:paraId="585C40DE" w14:textId="04E10B7F" w:rsidR="004163ED" w:rsidRDefault="004163ED">
      <w:pPr>
        <w:pStyle w:val="TM1"/>
        <w:tabs>
          <w:tab w:val="left" w:pos="1134"/>
          <w:tab w:val="right" w:leader="dot" w:pos="10053"/>
        </w:tabs>
        <w:rPr>
          <w:rFonts w:asciiTheme="minorHAnsi" w:eastAsiaTheme="minorEastAsia" w:hAnsiTheme="minorHAnsi" w:cstheme="minorBidi"/>
          <w:b w:val="0"/>
          <w:i w:val="0"/>
          <w:noProof/>
          <w:color w:val="auto"/>
          <w:kern w:val="0"/>
          <w:sz w:val="22"/>
          <w:lang w:val="fr-FR"/>
        </w:rPr>
      </w:pPr>
      <w:r>
        <w:rPr>
          <w:noProof/>
        </w:rPr>
        <w:t>4.</w:t>
      </w:r>
      <w:r>
        <w:rPr>
          <w:rFonts w:asciiTheme="minorHAnsi" w:eastAsiaTheme="minorEastAsia" w:hAnsiTheme="minorHAnsi" w:cstheme="minorBidi"/>
          <w:b w:val="0"/>
          <w:i w:val="0"/>
          <w:noProof/>
          <w:color w:val="auto"/>
          <w:kern w:val="0"/>
          <w:sz w:val="22"/>
          <w:lang w:val="fr-FR"/>
        </w:rPr>
        <w:tab/>
      </w:r>
      <w:r>
        <w:rPr>
          <w:noProof/>
        </w:rPr>
        <w:t>Éligibilité des partenaires</w:t>
      </w:r>
      <w:r>
        <w:rPr>
          <w:noProof/>
        </w:rPr>
        <w:tab/>
      </w:r>
      <w:r>
        <w:rPr>
          <w:noProof/>
        </w:rPr>
        <w:fldChar w:fldCharType="begin"/>
      </w:r>
      <w:r>
        <w:rPr>
          <w:noProof/>
        </w:rPr>
        <w:instrText xml:space="preserve"> PAGEREF _Toc100582407 \h </w:instrText>
      </w:r>
      <w:r>
        <w:rPr>
          <w:noProof/>
        </w:rPr>
      </w:r>
      <w:r>
        <w:rPr>
          <w:noProof/>
        </w:rPr>
        <w:fldChar w:fldCharType="separate"/>
      </w:r>
      <w:r>
        <w:rPr>
          <w:noProof/>
        </w:rPr>
        <w:t>5</w:t>
      </w:r>
      <w:r>
        <w:rPr>
          <w:noProof/>
        </w:rPr>
        <w:fldChar w:fldCharType="end"/>
      </w:r>
    </w:p>
    <w:p w14:paraId="663158F1" w14:textId="129A3431" w:rsidR="004163ED" w:rsidRDefault="004163ED">
      <w:pPr>
        <w:pStyle w:val="TM1"/>
        <w:tabs>
          <w:tab w:val="left" w:pos="1134"/>
          <w:tab w:val="right" w:leader="dot" w:pos="10053"/>
        </w:tabs>
        <w:rPr>
          <w:rFonts w:asciiTheme="minorHAnsi" w:eastAsiaTheme="minorEastAsia" w:hAnsiTheme="minorHAnsi" w:cstheme="minorBidi"/>
          <w:b w:val="0"/>
          <w:i w:val="0"/>
          <w:noProof/>
          <w:color w:val="auto"/>
          <w:kern w:val="0"/>
          <w:sz w:val="22"/>
          <w:lang w:val="fr-FR"/>
        </w:rPr>
      </w:pPr>
      <w:r>
        <w:rPr>
          <w:noProof/>
        </w:rPr>
        <w:t>5.</w:t>
      </w:r>
      <w:r>
        <w:rPr>
          <w:rFonts w:asciiTheme="minorHAnsi" w:eastAsiaTheme="minorEastAsia" w:hAnsiTheme="minorHAnsi" w:cstheme="minorBidi"/>
          <w:b w:val="0"/>
          <w:i w:val="0"/>
          <w:noProof/>
          <w:color w:val="auto"/>
          <w:kern w:val="0"/>
          <w:sz w:val="22"/>
          <w:lang w:val="fr-FR"/>
        </w:rPr>
        <w:tab/>
      </w:r>
      <w:r>
        <w:rPr>
          <w:noProof/>
        </w:rPr>
        <w:t>Déroulement de l’appel à projets</w:t>
      </w:r>
      <w:r>
        <w:rPr>
          <w:noProof/>
        </w:rPr>
        <w:tab/>
      </w:r>
      <w:r>
        <w:rPr>
          <w:noProof/>
        </w:rPr>
        <w:fldChar w:fldCharType="begin"/>
      </w:r>
      <w:r>
        <w:rPr>
          <w:noProof/>
        </w:rPr>
        <w:instrText xml:space="preserve"> PAGEREF _Toc100582408 \h </w:instrText>
      </w:r>
      <w:r>
        <w:rPr>
          <w:noProof/>
        </w:rPr>
      </w:r>
      <w:r>
        <w:rPr>
          <w:noProof/>
        </w:rPr>
        <w:fldChar w:fldCharType="separate"/>
      </w:r>
      <w:r>
        <w:rPr>
          <w:noProof/>
        </w:rPr>
        <w:t>6</w:t>
      </w:r>
      <w:r>
        <w:rPr>
          <w:noProof/>
        </w:rPr>
        <w:fldChar w:fldCharType="end"/>
      </w:r>
    </w:p>
    <w:p w14:paraId="0E2DFCA8" w14:textId="22CB9ECE"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5.1</w:t>
      </w:r>
      <w:r>
        <w:rPr>
          <w:rFonts w:asciiTheme="minorHAnsi" w:eastAsiaTheme="minorEastAsia" w:hAnsiTheme="minorHAnsi" w:cstheme="minorBidi"/>
          <w:b w:val="0"/>
          <w:noProof/>
          <w:color w:val="auto"/>
          <w:kern w:val="0"/>
          <w:lang w:val="fr-FR"/>
        </w:rPr>
        <w:tab/>
      </w:r>
      <w:r w:rsidRPr="001B098E">
        <w:rPr>
          <w:noProof/>
          <w:lang w:val="fr-FR"/>
        </w:rPr>
        <w:t>Éligibilité du projet</w:t>
      </w:r>
      <w:r>
        <w:rPr>
          <w:noProof/>
        </w:rPr>
        <w:tab/>
      </w:r>
      <w:r>
        <w:rPr>
          <w:noProof/>
        </w:rPr>
        <w:fldChar w:fldCharType="begin"/>
      </w:r>
      <w:r>
        <w:rPr>
          <w:noProof/>
        </w:rPr>
        <w:instrText xml:space="preserve"> PAGEREF _Toc100582409 \h </w:instrText>
      </w:r>
      <w:r>
        <w:rPr>
          <w:noProof/>
        </w:rPr>
      </w:r>
      <w:r>
        <w:rPr>
          <w:noProof/>
        </w:rPr>
        <w:fldChar w:fldCharType="separate"/>
      </w:r>
      <w:r>
        <w:rPr>
          <w:noProof/>
        </w:rPr>
        <w:t>6</w:t>
      </w:r>
      <w:r>
        <w:rPr>
          <w:noProof/>
        </w:rPr>
        <w:fldChar w:fldCharType="end"/>
      </w:r>
    </w:p>
    <w:p w14:paraId="15426A1D" w14:textId="1CA4EFA9"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5.2</w:t>
      </w:r>
      <w:r>
        <w:rPr>
          <w:rFonts w:asciiTheme="minorHAnsi" w:eastAsiaTheme="minorEastAsia" w:hAnsiTheme="minorHAnsi" w:cstheme="minorBidi"/>
          <w:b w:val="0"/>
          <w:noProof/>
          <w:color w:val="auto"/>
          <w:kern w:val="0"/>
          <w:lang w:val="fr-FR"/>
        </w:rPr>
        <w:tab/>
      </w:r>
      <w:r w:rsidRPr="001B098E">
        <w:rPr>
          <w:noProof/>
          <w:lang w:val="fr-FR"/>
        </w:rPr>
        <w:t>Financement</w:t>
      </w:r>
      <w:r>
        <w:rPr>
          <w:noProof/>
        </w:rPr>
        <w:tab/>
      </w:r>
      <w:r>
        <w:rPr>
          <w:noProof/>
        </w:rPr>
        <w:fldChar w:fldCharType="begin"/>
      </w:r>
      <w:r>
        <w:rPr>
          <w:noProof/>
        </w:rPr>
        <w:instrText xml:space="preserve"> PAGEREF _Toc100582410 \h </w:instrText>
      </w:r>
      <w:r>
        <w:rPr>
          <w:noProof/>
        </w:rPr>
      </w:r>
      <w:r>
        <w:rPr>
          <w:noProof/>
        </w:rPr>
        <w:fldChar w:fldCharType="separate"/>
      </w:r>
      <w:r>
        <w:rPr>
          <w:noProof/>
        </w:rPr>
        <w:t>6</w:t>
      </w:r>
      <w:r>
        <w:rPr>
          <w:noProof/>
        </w:rPr>
        <w:fldChar w:fldCharType="end"/>
      </w:r>
    </w:p>
    <w:p w14:paraId="2FED8D0A" w14:textId="1FE2083E" w:rsidR="004163ED" w:rsidRDefault="004163ED">
      <w:pPr>
        <w:pStyle w:val="TM3"/>
        <w:tabs>
          <w:tab w:val="right" w:leader="dot" w:pos="10053"/>
        </w:tabs>
        <w:rPr>
          <w:rFonts w:asciiTheme="minorHAnsi" w:eastAsiaTheme="minorEastAsia" w:hAnsiTheme="minorHAnsi" w:cstheme="minorBidi"/>
          <w:noProof/>
          <w:color w:val="auto"/>
          <w:kern w:val="0"/>
          <w:sz w:val="22"/>
          <w:lang w:val="fr-FR"/>
        </w:rPr>
      </w:pPr>
      <w:r w:rsidRPr="001B098E">
        <w:rPr>
          <w:noProof/>
          <w:lang w:val="fr-FR"/>
        </w:rPr>
        <w:t>5.2.1.Coûts éligibles et retenus</w:t>
      </w:r>
      <w:r>
        <w:rPr>
          <w:noProof/>
        </w:rPr>
        <w:tab/>
      </w:r>
      <w:r>
        <w:rPr>
          <w:noProof/>
        </w:rPr>
        <w:fldChar w:fldCharType="begin"/>
      </w:r>
      <w:r>
        <w:rPr>
          <w:noProof/>
        </w:rPr>
        <w:instrText xml:space="preserve"> PAGEREF _Toc100582411 \h </w:instrText>
      </w:r>
      <w:r>
        <w:rPr>
          <w:noProof/>
        </w:rPr>
      </w:r>
      <w:r>
        <w:rPr>
          <w:noProof/>
        </w:rPr>
        <w:fldChar w:fldCharType="separate"/>
      </w:r>
      <w:r>
        <w:rPr>
          <w:noProof/>
        </w:rPr>
        <w:t>6</w:t>
      </w:r>
      <w:r>
        <w:rPr>
          <w:noProof/>
        </w:rPr>
        <w:fldChar w:fldCharType="end"/>
      </w:r>
    </w:p>
    <w:p w14:paraId="47487C71" w14:textId="13D4DE20" w:rsidR="004163ED" w:rsidRDefault="004163ED">
      <w:pPr>
        <w:pStyle w:val="TM3"/>
        <w:tabs>
          <w:tab w:val="right" w:leader="dot" w:pos="10053"/>
        </w:tabs>
        <w:rPr>
          <w:rFonts w:asciiTheme="minorHAnsi" w:eastAsiaTheme="minorEastAsia" w:hAnsiTheme="minorHAnsi" w:cstheme="minorBidi"/>
          <w:noProof/>
          <w:color w:val="auto"/>
          <w:kern w:val="0"/>
          <w:sz w:val="22"/>
          <w:lang w:val="fr-FR"/>
        </w:rPr>
      </w:pPr>
      <w:r w:rsidRPr="001B098E">
        <w:rPr>
          <w:noProof/>
          <w:lang w:val="fr-FR"/>
        </w:rPr>
        <w:t>5.2.2.Taux d’aide</w:t>
      </w:r>
      <w:r>
        <w:rPr>
          <w:noProof/>
        </w:rPr>
        <w:tab/>
      </w:r>
      <w:r>
        <w:rPr>
          <w:noProof/>
        </w:rPr>
        <w:fldChar w:fldCharType="begin"/>
      </w:r>
      <w:r>
        <w:rPr>
          <w:noProof/>
        </w:rPr>
        <w:instrText xml:space="preserve"> PAGEREF _Toc100582412 \h </w:instrText>
      </w:r>
      <w:r>
        <w:rPr>
          <w:noProof/>
        </w:rPr>
      </w:r>
      <w:r>
        <w:rPr>
          <w:noProof/>
        </w:rPr>
        <w:fldChar w:fldCharType="separate"/>
      </w:r>
      <w:r>
        <w:rPr>
          <w:noProof/>
        </w:rPr>
        <w:t>7</w:t>
      </w:r>
      <w:r>
        <w:rPr>
          <w:noProof/>
        </w:rPr>
        <w:fldChar w:fldCharType="end"/>
      </w:r>
    </w:p>
    <w:p w14:paraId="42DAE3A7" w14:textId="3B03136C"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5.3</w:t>
      </w:r>
      <w:r>
        <w:rPr>
          <w:rFonts w:asciiTheme="minorHAnsi" w:eastAsiaTheme="minorEastAsia" w:hAnsiTheme="minorHAnsi" w:cstheme="minorBidi"/>
          <w:b w:val="0"/>
          <w:noProof/>
          <w:color w:val="auto"/>
          <w:kern w:val="0"/>
          <w:lang w:val="fr-FR"/>
        </w:rPr>
        <w:tab/>
      </w:r>
      <w:r w:rsidRPr="001B098E">
        <w:rPr>
          <w:noProof/>
          <w:lang w:val="fr-FR"/>
        </w:rPr>
        <w:t>Calendrier de l’appel à projets</w:t>
      </w:r>
      <w:r>
        <w:rPr>
          <w:noProof/>
        </w:rPr>
        <w:tab/>
      </w:r>
      <w:r>
        <w:rPr>
          <w:noProof/>
        </w:rPr>
        <w:fldChar w:fldCharType="begin"/>
      </w:r>
      <w:r>
        <w:rPr>
          <w:noProof/>
        </w:rPr>
        <w:instrText xml:space="preserve"> PAGEREF _Toc100582413 \h </w:instrText>
      </w:r>
      <w:r>
        <w:rPr>
          <w:noProof/>
        </w:rPr>
      </w:r>
      <w:r>
        <w:rPr>
          <w:noProof/>
        </w:rPr>
        <w:fldChar w:fldCharType="separate"/>
      </w:r>
      <w:r>
        <w:rPr>
          <w:noProof/>
        </w:rPr>
        <w:t>7</w:t>
      </w:r>
      <w:r>
        <w:rPr>
          <w:noProof/>
        </w:rPr>
        <w:fldChar w:fldCharType="end"/>
      </w:r>
    </w:p>
    <w:p w14:paraId="625C4705" w14:textId="27306561"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5.4</w:t>
      </w:r>
      <w:r>
        <w:rPr>
          <w:rFonts w:asciiTheme="minorHAnsi" w:eastAsiaTheme="minorEastAsia" w:hAnsiTheme="minorHAnsi" w:cstheme="minorBidi"/>
          <w:b w:val="0"/>
          <w:noProof/>
          <w:color w:val="auto"/>
          <w:kern w:val="0"/>
          <w:lang w:val="fr-FR"/>
        </w:rPr>
        <w:tab/>
      </w:r>
      <w:r w:rsidRPr="001B098E">
        <w:rPr>
          <w:noProof/>
          <w:lang w:val="fr-FR"/>
        </w:rPr>
        <w:t>Ouvrages concernés</w:t>
      </w:r>
      <w:r>
        <w:rPr>
          <w:noProof/>
        </w:rPr>
        <w:tab/>
      </w:r>
      <w:r>
        <w:rPr>
          <w:noProof/>
        </w:rPr>
        <w:fldChar w:fldCharType="begin"/>
      </w:r>
      <w:r>
        <w:rPr>
          <w:noProof/>
        </w:rPr>
        <w:instrText xml:space="preserve"> PAGEREF _Toc100582414 \h </w:instrText>
      </w:r>
      <w:r>
        <w:rPr>
          <w:noProof/>
        </w:rPr>
      </w:r>
      <w:r>
        <w:rPr>
          <w:noProof/>
        </w:rPr>
        <w:fldChar w:fldCharType="separate"/>
      </w:r>
      <w:r>
        <w:rPr>
          <w:noProof/>
        </w:rPr>
        <w:t>7</w:t>
      </w:r>
      <w:r>
        <w:rPr>
          <w:noProof/>
        </w:rPr>
        <w:fldChar w:fldCharType="end"/>
      </w:r>
    </w:p>
    <w:p w14:paraId="091D845B" w14:textId="4B812F02"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5.5</w:t>
      </w:r>
      <w:r>
        <w:rPr>
          <w:rFonts w:asciiTheme="minorHAnsi" w:eastAsiaTheme="minorEastAsia" w:hAnsiTheme="minorHAnsi" w:cstheme="minorBidi"/>
          <w:b w:val="0"/>
          <w:noProof/>
          <w:color w:val="auto"/>
          <w:kern w:val="0"/>
          <w:lang w:val="fr-FR"/>
        </w:rPr>
        <w:tab/>
      </w:r>
      <w:r w:rsidRPr="001B098E">
        <w:rPr>
          <w:noProof/>
          <w:lang w:val="fr-FR"/>
        </w:rPr>
        <w:t>Composition du dossier de candidature</w:t>
      </w:r>
      <w:r>
        <w:rPr>
          <w:noProof/>
        </w:rPr>
        <w:tab/>
      </w:r>
      <w:r>
        <w:rPr>
          <w:noProof/>
        </w:rPr>
        <w:fldChar w:fldCharType="begin"/>
      </w:r>
      <w:r>
        <w:rPr>
          <w:noProof/>
        </w:rPr>
        <w:instrText xml:space="preserve"> PAGEREF _Toc100582415 \h </w:instrText>
      </w:r>
      <w:r>
        <w:rPr>
          <w:noProof/>
        </w:rPr>
      </w:r>
      <w:r>
        <w:rPr>
          <w:noProof/>
        </w:rPr>
        <w:fldChar w:fldCharType="separate"/>
      </w:r>
      <w:r>
        <w:rPr>
          <w:noProof/>
        </w:rPr>
        <w:t>8</w:t>
      </w:r>
      <w:r>
        <w:rPr>
          <w:noProof/>
        </w:rPr>
        <w:fldChar w:fldCharType="end"/>
      </w:r>
    </w:p>
    <w:p w14:paraId="4C6B3BFF" w14:textId="18A845BA"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5.6</w:t>
      </w:r>
      <w:r>
        <w:rPr>
          <w:rFonts w:asciiTheme="minorHAnsi" w:eastAsiaTheme="minorEastAsia" w:hAnsiTheme="minorHAnsi" w:cstheme="minorBidi"/>
          <w:b w:val="0"/>
          <w:noProof/>
          <w:color w:val="auto"/>
          <w:kern w:val="0"/>
          <w:lang w:val="fr-FR"/>
        </w:rPr>
        <w:tab/>
      </w:r>
      <w:r w:rsidRPr="001B098E">
        <w:rPr>
          <w:noProof/>
          <w:lang w:val="fr-FR"/>
        </w:rPr>
        <w:t>Déroulement de la sélection</w:t>
      </w:r>
      <w:r>
        <w:rPr>
          <w:noProof/>
        </w:rPr>
        <w:tab/>
      </w:r>
      <w:r>
        <w:rPr>
          <w:noProof/>
        </w:rPr>
        <w:fldChar w:fldCharType="begin"/>
      </w:r>
      <w:r>
        <w:rPr>
          <w:noProof/>
        </w:rPr>
        <w:instrText xml:space="preserve"> PAGEREF _Toc100582416 \h </w:instrText>
      </w:r>
      <w:r>
        <w:rPr>
          <w:noProof/>
        </w:rPr>
      </w:r>
      <w:r>
        <w:rPr>
          <w:noProof/>
        </w:rPr>
        <w:fldChar w:fldCharType="separate"/>
      </w:r>
      <w:r>
        <w:rPr>
          <w:noProof/>
        </w:rPr>
        <w:t>9</w:t>
      </w:r>
      <w:r>
        <w:rPr>
          <w:noProof/>
        </w:rPr>
        <w:fldChar w:fldCharType="end"/>
      </w:r>
    </w:p>
    <w:p w14:paraId="48E99488" w14:textId="72C77641"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5.7</w:t>
      </w:r>
      <w:r>
        <w:rPr>
          <w:rFonts w:asciiTheme="minorHAnsi" w:eastAsiaTheme="minorEastAsia" w:hAnsiTheme="minorHAnsi" w:cstheme="minorBidi"/>
          <w:b w:val="0"/>
          <w:noProof/>
          <w:color w:val="auto"/>
          <w:kern w:val="0"/>
          <w:lang w:val="fr-FR"/>
        </w:rPr>
        <w:tab/>
      </w:r>
      <w:r w:rsidRPr="001B098E">
        <w:rPr>
          <w:noProof/>
          <w:lang w:val="fr-FR"/>
        </w:rPr>
        <w:t>Publication des informations de projets ret</w:t>
      </w:r>
      <w:bookmarkStart w:id="0" w:name="_GoBack"/>
      <w:bookmarkEnd w:id="0"/>
      <w:r w:rsidRPr="001B098E">
        <w:rPr>
          <w:noProof/>
          <w:lang w:val="fr-FR"/>
        </w:rPr>
        <w:t>enus</w:t>
      </w:r>
      <w:r>
        <w:rPr>
          <w:noProof/>
        </w:rPr>
        <w:tab/>
      </w:r>
      <w:r>
        <w:rPr>
          <w:noProof/>
        </w:rPr>
        <w:fldChar w:fldCharType="begin"/>
      </w:r>
      <w:r>
        <w:rPr>
          <w:noProof/>
        </w:rPr>
        <w:instrText xml:space="preserve"> PAGEREF _Toc100582417 \h </w:instrText>
      </w:r>
      <w:r>
        <w:rPr>
          <w:noProof/>
        </w:rPr>
      </w:r>
      <w:r>
        <w:rPr>
          <w:noProof/>
        </w:rPr>
        <w:fldChar w:fldCharType="separate"/>
      </w:r>
      <w:r>
        <w:rPr>
          <w:noProof/>
        </w:rPr>
        <w:t>10</w:t>
      </w:r>
      <w:r>
        <w:rPr>
          <w:noProof/>
        </w:rPr>
        <w:fldChar w:fldCharType="end"/>
      </w:r>
    </w:p>
    <w:p w14:paraId="43F3F8A7" w14:textId="6F7BA38B"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5.8</w:t>
      </w:r>
      <w:r>
        <w:rPr>
          <w:rFonts w:asciiTheme="minorHAnsi" w:eastAsiaTheme="minorEastAsia" w:hAnsiTheme="minorHAnsi" w:cstheme="minorBidi"/>
          <w:b w:val="0"/>
          <w:noProof/>
          <w:color w:val="auto"/>
          <w:kern w:val="0"/>
          <w:lang w:val="fr-FR"/>
        </w:rPr>
        <w:tab/>
      </w:r>
      <w:r w:rsidRPr="001B098E">
        <w:rPr>
          <w:noProof/>
          <w:lang w:val="fr-FR"/>
        </w:rPr>
        <w:t>Focus sur l’accord de consortium et la propriété industrielle</w:t>
      </w:r>
      <w:r>
        <w:rPr>
          <w:noProof/>
        </w:rPr>
        <w:tab/>
      </w:r>
      <w:r>
        <w:rPr>
          <w:noProof/>
        </w:rPr>
        <w:fldChar w:fldCharType="begin"/>
      </w:r>
      <w:r>
        <w:rPr>
          <w:noProof/>
        </w:rPr>
        <w:instrText xml:space="preserve"> PAGEREF _Toc100582418 \h </w:instrText>
      </w:r>
      <w:r>
        <w:rPr>
          <w:noProof/>
        </w:rPr>
      </w:r>
      <w:r>
        <w:rPr>
          <w:noProof/>
        </w:rPr>
        <w:fldChar w:fldCharType="separate"/>
      </w:r>
      <w:r>
        <w:rPr>
          <w:noProof/>
        </w:rPr>
        <w:t>11</w:t>
      </w:r>
      <w:r>
        <w:rPr>
          <w:noProof/>
        </w:rPr>
        <w:fldChar w:fldCharType="end"/>
      </w:r>
    </w:p>
    <w:p w14:paraId="0196F0F2" w14:textId="3672E3EE"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5.9</w:t>
      </w:r>
      <w:r>
        <w:rPr>
          <w:rFonts w:asciiTheme="minorHAnsi" w:eastAsiaTheme="minorEastAsia" w:hAnsiTheme="minorHAnsi" w:cstheme="minorBidi"/>
          <w:b w:val="0"/>
          <w:noProof/>
          <w:color w:val="auto"/>
          <w:kern w:val="0"/>
          <w:lang w:val="fr-FR"/>
        </w:rPr>
        <w:tab/>
      </w:r>
      <w:r w:rsidRPr="001B098E">
        <w:rPr>
          <w:noProof/>
          <w:lang w:val="fr-FR"/>
        </w:rPr>
        <w:t>Protection des données personnelles RGPD</w:t>
      </w:r>
      <w:r>
        <w:rPr>
          <w:noProof/>
        </w:rPr>
        <w:tab/>
      </w:r>
      <w:r>
        <w:rPr>
          <w:noProof/>
        </w:rPr>
        <w:fldChar w:fldCharType="begin"/>
      </w:r>
      <w:r>
        <w:rPr>
          <w:noProof/>
        </w:rPr>
        <w:instrText xml:space="preserve"> PAGEREF _Toc100582419 \h </w:instrText>
      </w:r>
      <w:r>
        <w:rPr>
          <w:noProof/>
        </w:rPr>
      </w:r>
      <w:r>
        <w:rPr>
          <w:noProof/>
        </w:rPr>
        <w:fldChar w:fldCharType="separate"/>
      </w:r>
      <w:r>
        <w:rPr>
          <w:noProof/>
        </w:rPr>
        <w:t>11</w:t>
      </w:r>
      <w:r>
        <w:rPr>
          <w:noProof/>
        </w:rPr>
        <w:fldChar w:fldCharType="end"/>
      </w:r>
    </w:p>
    <w:p w14:paraId="16A611F7" w14:textId="24252B02" w:rsidR="004163ED" w:rsidRDefault="004163ED">
      <w:pPr>
        <w:pStyle w:val="TM1"/>
        <w:tabs>
          <w:tab w:val="left" w:pos="1134"/>
          <w:tab w:val="right" w:leader="dot" w:pos="10053"/>
        </w:tabs>
        <w:rPr>
          <w:rFonts w:asciiTheme="minorHAnsi" w:eastAsiaTheme="minorEastAsia" w:hAnsiTheme="minorHAnsi" w:cstheme="minorBidi"/>
          <w:b w:val="0"/>
          <w:i w:val="0"/>
          <w:noProof/>
          <w:color w:val="auto"/>
          <w:kern w:val="0"/>
          <w:sz w:val="22"/>
          <w:lang w:val="fr-FR"/>
        </w:rPr>
      </w:pPr>
      <w:r>
        <w:rPr>
          <w:noProof/>
        </w:rPr>
        <w:t>6.</w:t>
      </w:r>
      <w:r>
        <w:rPr>
          <w:rFonts w:asciiTheme="minorHAnsi" w:eastAsiaTheme="minorEastAsia" w:hAnsiTheme="minorHAnsi" w:cstheme="minorBidi"/>
          <w:b w:val="0"/>
          <w:i w:val="0"/>
          <w:noProof/>
          <w:color w:val="auto"/>
          <w:kern w:val="0"/>
          <w:sz w:val="22"/>
          <w:lang w:val="fr-FR"/>
        </w:rPr>
        <w:tab/>
      </w:r>
      <w:r>
        <w:rPr>
          <w:noProof/>
        </w:rPr>
        <w:t>Mise en place et suivi du projet</w:t>
      </w:r>
      <w:r>
        <w:rPr>
          <w:noProof/>
        </w:rPr>
        <w:tab/>
      </w:r>
      <w:r>
        <w:rPr>
          <w:noProof/>
        </w:rPr>
        <w:fldChar w:fldCharType="begin"/>
      </w:r>
      <w:r>
        <w:rPr>
          <w:noProof/>
        </w:rPr>
        <w:instrText xml:space="preserve"> PAGEREF _Toc100582420 \h </w:instrText>
      </w:r>
      <w:r>
        <w:rPr>
          <w:noProof/>
        </w:rPr>
      </w:r>
      <w:r>
        <w:rPr>
          <w:noProof/>
        </w:rPr>
        <w:fldChar w:fldCharType="separate"/>
      </w:r>
      <w:r>
        <w:rPr>
          <w:noProof/>
        </w:rPr>
        <w:t>11</w:t>
      </w:r>
      <w:r>
        <w:rPr>
          <w:noProof/>
        </w:rPr>
        <w:fldChar w:fldCharType="end"/>
      </w:r>
    </w:p>
    <w:p w14:paraId="7C0BDDFC" w14:textId="0447EF89"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6.1</w:t>
      </w:r>
      <w:r>
        <w:rPr>
          <w:rFonts w:asciiTheme="minorHAnsi" w:eastAsiaTheme="minorEastAsia" w:hAnsiTheme="minorHAnsi" w:cstheme="minorBidi"/>
          <w:b w:val="0"/>
          <w:noProof/>
          <w:color w:val="auto"/>
          <w:kern w:val="0"/>
          <w:lang w:val="fr-FR"/>
        </w:rPr>
        <w:tab/>
      </w:r>
      <w:r w:rsidRPr="001B098E">
        <w:rPr>
          <w:noProof/>
          <w:lang w:val="fr-FR"/>
        </w:rPr>
        <w:t>Mise en place d’une convention</w:t>
      </w:r>
      <w:r>
        <w:rPr>
          <w:noProof/>
        </w:rPr>
        <w:tab/>
      </w:r>
      <w:r>
        <w:rPr>
          <w:noProof/>
        </w:rPr>
        <w:fldChar w:fldCharType="begin"/>
      </w:r>
      <w:r>
        <w:rPr>
          <w:noProof/>
        </w:rPr>
        <w:instrText xml:space="preserve"> PAGEREF _Toc100582421 \h </w:instrText>
      </w:r>
      <w:r>
        <w:rPr>
          <w:noProof/>
        </w:rPr>
      </w:r>
      <w:r>
        <w:rPr>
          <w:noProof/>
        </w:rPr>
        <w:fldChar w:fldCharType="separate"/>
      </w:r>
      <w:r>
        <w:rPr>
          <w:noProof/>
        </w:rPr>
        <w:t>11</w:t>
      </w:r>
      <w:r>
        <w:rPr>
          <w:noProof/>
        </w:rPr>
        <w:fldChar w:fldCharType="end"/>
      </w:r>
    </w:p>
    <w:p w14:paraId="6E500D29" w14:textId="110A1C6F"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6.2</w:t>
      </w:r>
      <w:r>
        <w:rPr>
          <w:rFonts w:asciiTheme="minorHAnsi" w:eastAsiaTheme="minorEastAsia" w:hAnsiTheme="minorHAnsi" w:cstheme="minorBidi"/>
          <w:b w:val="0"/>
          <w:noProof/>
          <w:color w:val="auto"/>
          <w:kern w:val="0"/>
          <w:lang w:val="fr-FR"/>
        </w:rPr>
        <w:tab/>
      </w:r>
      <w:r w:rsidRPr="001B098E">
        <w:rPr>
          <w:noProof/>
          <w:lang w:val="fr-FR"/>
        </w:rPr>
        <w:t>Suivi technique</w:t>
      </w:r>
      <w:r>
        <w:rPr>
          <w:noProof/>
        </w:rPr>
        <w:tab/>
      </w:r>
      <w:r>
        <w:rPr>
          <w:noProof/>
        </w:rPr>
        <w:fldChar w:fldCharType="begin"/>
      </w:r>
      <w:r>
        <w:rPr>
          <w:noProof/>
        </w:rPr>
        <w:instrText xml:space="preserve"> PAGEREF _Toc100582422 \h </w:instrText>
      </w:r>
      <w:r>
        <w:rPr>
          <w:noProof/>
        </w:rPr>
      </w:r>
      <w:r>
        <w:rPr>
          <w:noProof/>
        </w:rPr>
        <w:fldChar w:fldCharType="separate"/>
      </w:r>
      <w:r>
        <w:rPr>
          <w:noProof/>
        </w:rPr>
        <w:t>11</w:t>
      </w:r>
      <w:r>
        <w:rPr>
          <w:noProof/>
        </w:rPr>
        <w:fldChar w:fldCharType="end"/>
      </w:r>
    </w:p>
    <w:p w14:paraId="1015C2D4" w14:textId="5AABCC43"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6.3</w:t>
      </w:r>
      <w:r>
        <w:rPr>
          <w:rFonts w:asciiTheme="minorHAnsi" w:eastAsiaTheme="minorEastAsia" w:hAnsiTheme="minorHAnsi" w:cstheme="minorBidi"/>
          <w:b w:val="0"/>
          <w:noProof/>
          <w:color w:val="auto"/>
          <w:kern w:val="0"/>
          <w:lang w:val="fr-FR"/>
        </w:rPr>
        <w:tab/>
      </w:r>
      <w:r w:rsidRPr="001B098E">
        <w:rPr>
          <w:noProof/>
          <w:lang w:val="fr-FR"/>
        </w:rPr>
        <w:t>Suivi financier</w:t>
      </w:r>
      <w:r>
        <w:rPr>
          <w:noProof/>
        </w:rPr>
        <w:tab/>
      </w:r>
      <w:r>
        <w:rPr>
          <w:noProof/>
        </w:rPr>
        <w:fldChar w:fldCharType="begin"/>
      </w:r>
      <w:r>
        <w:rPr>
          <w:noProof/>
        </w:rPr>
        <w:instrText xml:space="preserve"> PAGEREF _Toc100582423 \h </w:instrText>
      </w:r>
      <w:r>
        <w:rPr>
          <w:noProof/>
        </w:rPr>
      </w:r>
      <w:r>
        <w:rPr>
          <w:noProof/>
        </w:rPr>
        <w:fldChar w:fldCharType="separate"/>
      </w:r>
      <w:r>
        <w:rPr>
          <w:noProof/>
        </w:rPr>
        <w:t>11</w:t>
      </w:r>
      <w:r>
        <w:rPr>
          <w:noProof/>
        </w:rPr>
        <w:fldChar w:fldCharType="end"/>
      </w:r>
    </w:p>
    <w:p w14:paraId="2DDFE5E8" w14:textId="203BE812"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6.4</w:t>
      </w:r>
      <w:r>
        <w:rPr>
          <w:rFonts w:asciiTheme="minorHAnsi" w:eastAsiaTheme="minorEastAsia" w:hAnsiTheme="minorHAnsi" w:cstheme="minorBidi"/>
          <w:b w:val="0"/>
          <w:noProof/>
          <w:color w:val="auto"/>
          <w:kern w:val="0"/>
          <w:lang w:val="fr-FR"/>
        </w:rPr>
        <w:tab/>
      </w:r>
      <w:r w:rsidRPr="001B098E">
        <w:rPr>
          <w:noProof/>
          <w:lang w:val="fr-FR"/>
        </w:rPr>
        <w:t>Suivi calendaire</w:t>
      </w:r>
      <w:r>
        <w:rPr>
          <w:noProof/>
        </w:rPr>
        <w:tab/>
      </w:r>
      <w:r>
        <w:rPr>
          <w:noProof/>
        </w:rPr>
        <w:fldChar w:fldCharType="begin"/>
      </w:r>
      <w:r>
        <w:rPr>
          <w:noProof/>
        </w:rPr>
        <w:instrText xml:space="preserve"> PAGEREF _Toc100582424 \h </w:instrText>
      </w:r>
      <w:r>
        <w:rPr>
          <w:noProof/>
        </w:rPr>
      </w:r>
      <w:r>
        <w:rPr>
          <w:noProof/>
        </w:rPr>
        <w:fldChar w:fldCharType="separate"/>
      </w:r>
      <w:r>
        <w:rPr>
          <w:noProof/>
        </w:rPr>
        <w:t>11</w:t>
      </w:r>
      <w:r>
        <w:rPr>
          <w:noProof/>
        </w:rPr>
        <w:fldChar w:fldCharType="end"/>
      </w:r>
    </w:p>
    <w:p w14:paraId="0183B32D" w14:textId="211EF249" w:rsidR="004163ED" w:rsidRDefault="004163ED">
      <w:pPr>
        <w:pStyle w:val="TM3"/>
        <w:tabs>
          <w:tab w:val="left" w:pos="1134"/>
          <w:tab w:val="right" w:leader="dot" w:pos="10053"/>
        </w:tabs>
        <w:rPr>
          <w:rFonts w:asciiTheme="minorHAnsi" w:eastAsiaTheme="minorEastAsia" w:hAnsiTheme="minorHAnsi" w:cstheme="minorBidi"/>
          <w:noProof/>
          <w:color w:val="auto"/>
          <w:kern w:val="0"/>
          <w:sz w:val="22"/>
          <w:lang w:val="fr-FR"/>
        </w:rPr>
      </w:pPr>
      <w:r>
        <w:rPr>
          <w:noProof/>
        </w:rPr>
        <w:t>6.4.1.</w:t>
      </w:r>
      <w:r>
        <w:rPr>
          <w:rFonts w:asciiTheme="minorHAnsi" w:eastAsiaTheme="minorEastAsia" w:hAnsiTheme="minorHAnsi" w:cstheme="minorBidi"/>
          <w:noProof/>
          <w:color w:val="auto"/>
          <w:kern w:val="0"/>
          <w:sz w:val="22"/>
          <w:lang w:val="fr-FR"/>
        </w:rPr>
        <w:tab/>
      </w:r>
      <w:r>
        <w:rPr>
          <w:noProof/>
        </w:rPr>
        <w:t>1</w:t>
      </w:r>
      <w:r w:rsidRPr="001B098E">
        <w:rPr>
          <w:noProof/>
          <w:position w:val="7"/>
          <w:lang w:val="fr-FR"/>
        </w:rPr>
        <w:t>er</w:t>
      </w:r>
      <w:r w:rsidRPr="001B098E">
        <w:rPr>
          <w:noProof/>
          <w:lang w:val="fr-FR"/>
        </w:rPr>
        <w:t xml:space="preserve"> comité de suivi</w:t>
      </w:r>
      <w:r>
        <w:rPr>
          <w:noProof/>
        </w:rPr>
        <w:tab/>
      </w:r>
      <w:r>
        <w:rPr>
          <w:noProof/>
        </w:rPr>
        <w:fldChar w:fldCharType="begin"/>
      </w:r>
      <w:r>
        <w:rPr>
          <w:noProof/>
        </w:rPr>
        <w:instrText xml:space="preserve"> PAGEREF _Toc100582425 \h </w:instrText>
      </w:r>
      <w:r>
        <w:rPr>
          <w:noProof/>
        </w:rPr>
      </w:r>
      <w:r>
        <w:rPr>
          <w:noProof/>
        </w:rPr>
        <w:fldChar w:fldCharType="separate"/>
      </w:r>
      <w:r>
        <w:rPr>
          <w:noProof/>
        </w:rPr>
        <w:t>11</w:t>
      </w:r>
      <w:r>
        <w:rPr>
          <w:noProof/>
        </w:rPr>
        <w:fldChar w:fldCharType="end"/>
      </w:r>
    </w:p>
    <w:p w14:paraId="347D7A2C" w14:textId="1A274162" w:rsidR="004163ED" w:rsidRDefault="004163ED">
      <w:pPr>
        <w:pStyle w:val="TM3"/>
        <w:tabs>
          <w:tab w:val="left" w:pos="1134"/>
          <w:tab w:val="right" w:leader="dot" w:pos="10053"/>
        </w:tabs>
        <w:rPr>
          <w:rFonts w:asciiTheme="minorHAnsi" w:eastAsiaTheme="minorEastAsia" w:hAnsiTheme="minorHAnsi" w:cstheme="minorBidi"/>
          <w:noProof/>
          <w:color w:val="auto"/>
          <w:kern w:val="0"/>
          <w:sz w:val="22"/>
          <w:lang w:val="fr-FR"/>
        </w:rPr>
      </w:pPr>
      <w:r w:rsidRPr="001B098E">
        <w:rPr>
          <w:noProof/>
          <w:lang w:val="fr-FR"/>
        </w:rPr>
        <w:t>6.4.2.</w:t>
      </w:r>
      <w:r>
        <w:rPr>
          <w:rFonts w:asciiTheme="minorHAnsi" w:eastAsiaTheme="minorEastAsia" w:hAnsiTheme="minorHAnsi" w:cstheme="minorBidi"/>
          <w:noProof/>
          <w:color w:val="auto"/>
          <w:kern w:val="0"/>
          <w:sz w:val="22"/>
          <w:lang w:val="fr-FR"/>
        </w:rPr>
        <w:tab/>
      </w:r>
      <w:r w:rsidRPr="001B098E">
        <w:rPr>
          <w:noProof/>
          <w:lang w:val="fr-FR"/>
        </w:rPr>
        <w:t>2</w:t>
      </w:r>
      <w:r w:rsidRPr="001B098E">
        <w:rPr>
          <w:noProof/>
          <w:position w:val="7"/>
          <w:lang w:val="fr-FR"/>
        </w:rPr>
        <w:t>e</w:t>
      </w:r>
      <w:r w:rsidRPr="001B098E">
        <w:rPr>
          <w:noProof/>
          <w:lang w:val="fr-FR"/>
        </w:rPr>
        <w:t xml:space="preserve"> comité de suivi et fourniture du 1</w:t>
      </w:r>
      <w:r w:rsidRPr="001B098E">
        <w:rPr>
          <w:noProof/>
          <w:position w:val="7"/>
          <w:lang w:val="fr-FR"/>
        </w:rPr>
        <w:t>er</w:t>
      </w:r>
      <w:r w:rsidRPr="001B098E">
        <w:rPr>
          <w:noProof/>
          <w:lang w:val="fr-FR"/>
        </w:rPr>
        <w:t xml:space="preserve"> rapport</w:t>
      </w:r>
      <w:r>
        <w:rPr>
          <w:noProof/>
        </w:rPr>
        <w:tab/>
      </w:r>
      <w:r>
        <w:rPr>
          <w:noProof/>
        </w:rPr>
        <w:fldChar w:fldCharType="begin"/>
      </w:r>
      <w:r>
        <w:rPr>
          <w:noProof/>
        </w:rPr>
        <w:instrText xml:space="preserve"> PAGEREF _Toc100582426 \h </w:instrText>
      </w:r>
      <w:r>
        <w:rPr>
          <w:noProof/>
        </w:rPr>
      </w:r>
      <w:r>
        <w:rPr>
          <w:noProof/>
        </w:rPr>
        <w:fldChar w:fldCharType="separate"/>
      </w:r>
      <w:r>
        <w:rPr>
          <w:noProof/>
        </w:rPr>
        <w:t>12</w:t>
      </w:r>
      <w:r>
        <w:rPr>
          <w:noProof/>
        </w:rPr>
        <w:fldChar w:fldCharType="end"/>
      </w:r>
    </w:p>
    <w:p w14:paraId="4CC4C5FF" w14:textId="237D7906" w:rsidR="004163ED" w:rsidRDefault="004163ED">
      <w:pPr>
        <w:pStyle w:val="TM3"/>
        <w:tabs>
          <w:tab w:val="left" w:pos="1134"/>
          <w:tab w:val="right" w:leader="dot" w:pos="10053"/>
        </w:tabs>
        <w:rPr>
          <w:rFonts w:asciiTheme="minorHAnsi" w:eastAsiaTheme="minorEastAsia" w:hAnsiTheme="minorHAnsi" w:cstheme="minorBidi"/>
          <w:noProof/>
          <w:color w:val="auto"/>
          <w:kern w:val="0"/>
          <w:sz w:val="22"/>
          <w:lang w:val="fr-FR"/>
        </w:rPr>
      </w:pPr>
      <w:r w:rsidRPr="001B098E">
        <w:rPr>
          <w:noProof/>
          <w:lang w:val="fr-FR"/>
        </w:rPr>
        <w:t>6.4.3.</w:t>
      </w:r>
      <w:r>
        <w:rPr>
          <w:rFonts w:asciiTheme="minorHAnsi" w:eastAsiaTheme="minorEastAsia" w:hAnsiTheme="minorHAnsi" w:cstheme="minorBidi"/>
          <w:noProof/>
          <w:color w:val="auto"/>
          <w:kern w:val="0"/>
          <w:sz w:val="22"/>
          <w:lang w:val="fr-FR"/>
        </w:rPr>
        <w:tab/>
      </w:r>
      <w:r w:rsidRPr="001B098E">
        <w:rPr>
          <w:noProof/>
          <w:lang w:val="fr-FR"/>
        </w:rPr>
        <w:t>3</w:t>
      </w:r>
      <w:r w:rsidRPr="001B098E">
        <w:rPr>
          <w:noProof/>
          <w:position w:val="7"/>
          <w:lang w:val="fr-FR"/>
        </w:rPr>
        <w:t>e</w:t>
      </w:r>
      <w:r w:rsidRPr="001B098E">
        <w:rPr>
          <w:noProof/>
          <w:lang w:val="fr-FR"/>
        </w:rPr>
        <w:t xml:space="preserve"> comité de suivi et fourniture du 2</w:t>
      </w:r>
      <w:r w:rsidRPr="001B098E">
        <w:rPr>
          <w:noProof/>
          <w:position w:val="7"/>
          <w:lang w:val="fr-FR"/>
        </w:rPr>
        <w:t>e</w:t>
      </w:r>
      <w:r w:rsidRPr="001B098E">
        <w:rPr>
          <w:noProof/>
          <w:lang w:val="fr-FR"/>
        </w:rPr>
        <w:t xml:space="preserve"> rapport</w:t>
      </w:r>
      <w:r>
        <w:rPr>
          <w:noProof/>
        </w:rPr>
        <w:tab/>
      </w:r>
      <w:r>
        <w:rPr>
          <w:noProof/>
        </w:rPr>
        <w:fldChar w:fldCharType="begin"/>
      </w:r>
      <w:r>
        <w:rPr>
          <w:noProof/>
        </w:rPr>
        <w:instrText xml:space="preserve"> PAGEREF _Toc100582427 \h </w:instrText>
      </w:r>
      <w:r>
        <w:rPr>
          <w:noProof/>
        </w:rPr>
      </w:r>
      <w:r>
        <w:rPr>
          <w:noProof/>
        </w:rPr>
        <w:fldChar w:fldCharType="separate"/>
      </w:r>
      <w:r>
        <w:rPr>
          <w:noProof/>
        </w:rPr>
        <w:t>12</w:t>
      </w:r>
      <w:r>
        <w:rPr>
          <w:noProof/>
        </w:rPr>
        <w:fldChar w:fldCharType="end"/>
      </w:r>
    </w:p>
    <w:p w14:paraId="33ECAF14" w14:textId="5D43DB5E" w:rsidR="004163ED" w:rsidRDefault="004163ED">
      <w:pPr>
        <w:pStyle w:val="TM3"/>
        <w:tabs>
          <w:tab w:val="left" w:pos="1134"/>
          <w:tab w:val="right" w:leader="dot" w:pos="10053"/>
        </w:tabs>
        <w:rPr>
          <w:rFonts w:asciiTheme="minorHAnsi" w:eastAsiaTheme="minorEastAsia" w:hAnsiTheme="minorHAnsi" w:cstheme="minorBidi"/>
          <w:noProof/>
          <w:color w:val="auto"/>
          <w:kern w:val="0"/>
          <w:sz w:val="22"/>
          <w:lang w:val="fr-FR"/>
        </w:rPr>
      </w:pPr>
      <w:r w:rsidRPr="001B098E">
        <w:rPr>
          <w:noProof/>
          <w:lang w:val="fr-FR"/>
        </w:rPr>
        <w:t xml:space="preserve">6.4.4. </w:t>
      </w:r>
      <w:r>
        <w:rPr>
          <w:rFonts w:asciiTheme="minorHAnsi" w:eastAsiaTheme="minorEastAsia" w:hAnsiTheme="minorHAnsi" w:cstheme="minorBidi"/>
          <w:noProof/>
          <w:color w:val="auto"/>
          <w:kern w:val="0"/>
          <w:sz w:val="22"/>
          <w:lang w:val="fr-FR"/>
        </w:rPr>
        <w:tab/>
      </w:r>
      <w:r w:rsidRPr="001B098E">
        <w:rPr>
          <w:noProof/>
          <w:lang w:val="fr-FR"/>
        </w:rPr>
        <w:t>4</w:t>
      </w:r>
      <w:r w:rsidRPr="001B098E">
        <w:rPr>
          <w:noProof/>
          <w:position w:val="7"/>
          <w:lang w:val="fr-FR"/>
        </w:rPr>
        <w:t>e</w:t>
      </w:r>
      <w:r w:rsidRPr="001B098E">
        <w:rPr>
          <w:noProof/>
          <w:lang w:val="fr-FR"/>
        </w:rPr>
        <w:t xml:space="preserve"> comité de suivi et fourniture du rapport final</w:t>
      </w:r>
      <w:r>
        <w:rPr>
          <w:noProof/>
        </w:rPr>
        <w:tab/>
      </w:r>
      <w:r>
        <w:rPr>
          <w:noProof/>
        </w:rPr>
        <w:fldChar w:fldCharType="begin"/>
      </w:r>
      <w:r>
        <w:rPr>
          <w:noProof/>
        </w:rPr>
        <w:instrText xml:space="preserve"> PAGEREF _Toc100582428 \h </w:instrText>
      </w:r>
      <w:r>
        <w:rPr>
          <w:noProof/>
        </w:rPr>
      </w:r>
      <w:r>
        <w:rPr>
          <w:noProof/>
        </w:rPr>
        <w:fldChar w:fldCharType="separate"/>
      </w:r>
      <w:r>
        <w:rPr>
          <w:noProof/>
        </w:rPr>
        <w:t>12</w:t>
      </w:r>
      <w:r>
        <w:rPr>
          <w:noProof/>
        </w:rPr>
        <w:fldChar w:fldCharType="end"/>
      </w:r>
    </w:p>
    <w:p w14:paraId="1A054F8F" w14:textId="57FFB45E"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6.5</w:t>
      </w:r>
      <w:r>
        <w:rPr>
          <w:rFonts w:asciiTheme="minorHAnsi" w:eastAsiaTheme="minorEastAsia" w:hAnsiTheme="minorHAnsi" w:cstheme="minorBidi"/>
          <w:b w:val="0"/>
          <w:noProof/>
          <w:color w:val="auto"/>
          <w:kern w:val="0"/>
          <w:lang w:val="fr-FR"/>
        </w:rPr>
        <w:tab/>
      </w:r>
      <w:r w:rsidRPr="001B098E">
        <w:rPr>
          <w:noProof/>
          <w:lang w:val="fr-FR"/>
        </w:rPr>
        <w:t>Rapport final</w:t>
      </w:r>
      <w:r>
        <w:rPr>
          <w:noProof/>
        </w:rPr>
        <w:tab/>
      </w:r>
      <w:r>
        <w:rPr>
          <w:noProof/>
        </w:rPr>
        <w:fldChar w:fldCharType="begin"/>
      </w:r>
      <w:r>
        <w:rPr>
          <w:noProof/>
        </w:rPr>
        <w:instrText xml:space="preserve"> PAGEREF _Toc100582429 \h </w:instrText>
      </w:r>
      <w:r>
        <w:rPr>
          <w:noProof/>
        </w:rPr>
      </w:r>
      <w:r>
        <w:rPr>
          <w:noProof/>
        </w:rPr>
        <w:fldChar w:fldCharType="separate"/>
      </w:r>
      <w:r>
        <w:rPr>
          <w:noProof/>
        </w:rPr>
        <w:t>12</w:t>
      </w:r>
      <w:r>
        <w:rPr>
          <w:noProof/>
        </w:rPr>
        <w:fldChar w:fldCharType="end"/>
      </w:r>
    </w:p>
    <w:p w14:paraId="58C9EAC1" w14:textId="0F5FB3B3"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6.6</w:t>
      </w:r>
      <w:r>
        <w:rPr>
          <w:rFonts w:asciiTheme="minorHAnsi" w:eastAsiaTheme="minorEastAsia" w:hAnsiTheme="minorHAnsi" w:cstheme="minorBidi"/>
          <w:b w:val="0"/>
          <w:noProof/>
          <w:color w:val="auto"/>
          <w:kern w:val="0"/>
          <w:lang w:val="fr-FR"/>
        </w:rPr>
        <w:tab/>
      </w:r>
      <w:r w:rsidRPr="001B098E">
        <w:rPr>
          <w:noProof/>
          <w:lang w:val="fr-FR"/>
        </w:rPr>
        <w:t>Perspective</w:t>
      </w:r>
      <w:r>
        <w:rPr>
          <w:noProof/>
        </w:rPr>
        <w:tab/>
      </w:r>
      <w:r>
        <w:rPr>
          <w:noProof/>
        </w:rPr>
        <w:fldChar w:fldCharType="begin"/>
      </w:r>
      <w:r>
        <w:rPr>
          <w:noProof/>
        </w:rPr>
        <w:instrText xml:space="preserve"> PAGEREF _Toc100582430 \h </w:instrText>
      </w:r>
      <w:r>
        <w:rPr>
          <w:noProof/>
        </w:rPr>
      </w:r>
      <w:r>
        <w:rPr>
          <w:noProof/>
        </w:rPr>
        <w:fldChar w:fldCharType="separate"/>
      </w:r>
      <w:r>
        <w:rPr>
          <w:noProof/>
        </w:rPr>
        <w:t>13</w:t>
      </w:r>
      <w:r>
        <w:rPr>
          <w:noProof/>
        </w:rPr>
        <w:fldChar w:fldCharType="end"/>
      </w:r>
    </w:p>
    <w:p w14:paraId="553FC4BB" w14:textId="0FD51BFB" w:rsidR="004163ED" w:rsidRDefault="004163ED">
      <w:pPr>
        <w:pStyle w:val="TM1"/>
        <w:tabs>
          <w:tab w:val="left" w:pos="1134"/>
          <w:tab w:val="right" w:leader="dot" w:pos="10053"/>
        </w:tabs>
        <w:rPr>
          <w:rFonts w:asciiTheme="minorHAnsi" w:eastAsiaTheme="minorEastAsia" w:hAnsiTheme="minorHAnsi" w:cstheme="minorBidi"/>
          <w:b w:val="0"/>
          <w:i w:val="0"/>
          <w:noProof/>
          <w:color w:val="auto"/>
          <w:kern w:val="0"/>
          <w:sz w:val="22"/>
          <w:lang w:val="fr-FR"/>
        </w:rPr>
      </w:pPr>
      <w:r>
        <w:rPr>
          <w:noProof/>
        </w:rPr>
        <w:t>7.</w:t>
      </w:r>
      <w:r>
        <w:rPr>
          <w:rFonts w:asciiTheme="minorHAnsi" w:eastAsiaTheme="minorEastAsia" w:hAnsiTheme="minorHAnsi" w:cstheme="minorBidi"/>
          <w:b w:val="0"/>
          <w:i w:val="0"/>
          <w:noProof/>
          <w:color w:val="auto"/>
          <w:kern w:val="0"/>
          <w:sz w:val="22"/>
          <w:lang w:val="fr-FR"/>
        </w:rPr>
        <w:tab/>
      </w:r>
      <w:r>
        <w:rPr>
          <w:noProof/>
        </w:rPr>
        <w:t>Communication</w:t>
      </w:r>
      <w:r>
        <w:rPr>
          <w:noProof/>
        </w:rPr>
        <w:tab/>
      </w:r>
      <w:r>
        <w:rPr>
          <w:noProof/>
        </w:rPr>
        <w:fldChar w:fldCharType="begin"/>
      </w:r>
      <w:r>
        <w:rPr>
          <w:noProof/>
        </w:rPr>
        <w:instrText xml:space="preserve"> PAGEREF _Toc100582431 \h </w:instrText>
      </w:r>
      <w:r>
        <w:rPr>
          <w:noProof/>
        </w:rPr>
      </w:r>
      <w:r>
        <w:rPr>
          <w:noProof/>
        </w:rPr>
        <w:fldChar w:fldCharType="separate"/>
      </w:r>
      <w:r>
        <w:rPr>
          <w:noProof/>
        </w:rPr>
        <w:t>13</w:t>
      </w:r>
      <w:r>
        <w:rPr>
          <w:noProof/>
        </w:rPr>
        <w:fldChar w:fldCharType="end"/>
      </w:r>
    </w:p>
    <w:p w14:paraId="0A6B12E1" w14:textId="504F5FA8"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7.1</w:t>
      </w:r>
      <w:r>
        <w:rPr>
          <w:rFonts w:asciiTheme="minorHAnsi" w:eastAsiaTheme="minorEastAsia" w:hAnsiTheme="minorHAnsi" w:cstheme="minorBidi"/>
          <w:b w:val="0"/>
          <w:noProof/>
          <w:color w:val="auto"/>
          <w:kern w:val="0"/>
          <w:lang w:val="fr-FR"/>
        </w:rPr>
        <w:tab/>
      </w:r>
      <w:r>
        <w:rPr>
          <w:noProof/>
        </w:rPr>
        <w:t>Obligation standard</w:t>
      </w:r>
      <w:r>
        <w:rPr>
          <w:noProof/>
        </w:rPr>
        <w:tab/>
      </w:r>
      <w:r>
        <w:rPr>
          <w:noProof/>
        </w:rPr>
        <w:fldChar w:fldCharType="begin"/>
      </w:r>
      <w:r>
        <w:rPr>
          <w:noProof/>
        </w:rPr>
        <w:instrText xml:space="preserve"> PAGEREF _Toc100582432 \h </w:instrText>
      </w:r>
      <w:r>
        <w:rPr>
          <w:noProof/>
        </w:rPr>
      </w:r>
      <w:r>
        <w:rPr>
          <w:noProof/>
        </w:rPr>
        <w:fldChar w:fldCharType="separate"/>
      </w:r>
      <w:r>
        <w:rPr>
          <w:noProof/>
        </w:rPr>
        <w:t>13</w:t>
      </w:r>
      <w:r>
        <w:rPr>
          <w:noProof/>
        </w:rPr>
        <w:fldChar w:fldCharType="end"/>
      </w:r>
    </w:p>
    <w:p w14:paraId="48BFE627" w14:textId="1B3FC4D6"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7.2</w:t>
      </w:r>
      <w:r>
        <w:rPr>
          <w:rFonts w:asciiTheme="minorHAnsi" w:eastAsiaTheme="minorEastAsia" w:hAnsiTheme="minorHAnsi" w:cstheme="minorBidi"/>
          <w:b w:val="0"/>
          <w:noProof/>
          <w:color w:val="auto"/>
          <w:kern w:val="0"/>
          <w:lang w:val="fr-FR"/>
        </w:rPr>
        <w:tab/>
      </w:r>
      <w:r w:rsidRPr="001B098E">
        <w:rPr>
          <w:noProof/>
          <w:lang w:val="fr-FR"/>
        </w:rPr>
        <w:t>Invitation du Président de la Région</w:t>
      </w:r>
      <w:r>
        <w:rPr>
          <w:noProof/>
        </w:rPr>
        <w:tab/>
      </w:r>
      <w:r>
        <w:rPr>
          <w:noProof/>
        </w:rPr>
        <w:fldChar w:fldCharType="begin"/>
      </w:r>
      <w:r>
        <w:rPr>
          <w:noProof/>
        </w:rPr>
        <w:instrText xml:space="preserve"> PAGEREF _Toc100582433 \h </w:instrText>
      </w:r>
      <w:r>
        <w:rPr>
          <w:noProof/>
        </w:rPr>
      </w:r>
      <w:r>
        <w:rPr>
          <w:noProof/>
        </w:rPr>
        <w:fldChar w:fldCharType="separate"/>
      </w:r>
      <w:r>
        <w:rPr>
          <w:noProof/>
        </w:rPr>
        <w:t>14</w:t>
      </w:r>
      <w:r>
        <w:rPr>
          <w:noProof/>
        </w:rPr>
        <w:fldChar w:fldCharType="end"/>
      </w:r>
    </w:p>
    <w:p w14:paraId="04ED4AA7" w14:textId="18278D42"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7.3</w:t>
      </w:r>
      <w:r>
        <w:rPr>
          <w:rFonts w:asciiTheme="minorHAnsi" w:eastAsiaTheme="minorEastAsia" w:hAnsiTheme="minorHAnsi" w:cstheme="minorBidi"/>
          <w:b w:val="0"/>
          <w:noProof/>
          <w:color w:val="auto"/>
          <w:kern w:val="0"/>
          <w:lang w:val="fr-FR"/>
        </w:rPr>
        <w:tab/>
      </w:r>
      <w:r w:rsidRPr="001B098E">
        <w:rPr>
          <w:noProof/>
          <w:lang w:val="fr-FR"/>
        </w:rPr>
        <w:t>Contact</w:t>
      </w:r>
      <w:r>
        <w:rPr>
          <w:noProof/>
        </w:rPr>
        <w:tab/>
      </w:r>
      <w:r>
        <w:rPr>
          <w:noProof/>
        </w:rPr>
        <w:fldChar w:fldCharType="begin"/>
      </w:r>
      <w:r>
        <w:rPr>
          <w:noProof/>
        </w:rPr>
        <w:instrText xml:space="preserve"> PAGEREF _Toc100582434 \h </w:instrText>
      </w:r>
      <w:r>
        <w:rPr>
          <w:noProof/>
        </w:rPr>
      </w:r>
      <w:r>
        <w:rPr>
          <w:noProof/>
        </w:rPr>
        <w:fldChar w:fldCharType="separate"/>
      </w:r>
      <w:r>
        <w:rPr>
          <w:noProof/>
        </w:rPr>
        <w:t>14</w:t>
      </w:r>
      <w:r>
        <w:rPr>
          <w:noProof/>
        </w:rPr>
        <w:fldChar w:fldCharType="end"/>
      </w:r>
    </w:p>
    <w:p w14:paraId="1E558C09" w14:textId="03FE3ED2" w:rsidR="004163ED" w:rsidRDefault="004163ED">
      <w:pPr>
        <w:pStyle w:val="TM1"/>
        <w:tabs>
          <w:tab w:val="left" w:pos="1134"/>
          <w:tab w:val="right" w:leader="dot" w:pos="10053"/>
        </w:tabs>
        <w:rPr>
          <w:rFonts w:asciiTheme="minorHAnsi" w:eastAsiaTheme="minorEastAsia" w:hAnsiTheme="minorHAnsi" w:cstheme="minorBidi"/>
          <w:b w:val="0"/>
          <w:i w:val="0"/>
          <w:noProof/>
          <w:color w:val="auto"/>
          <w:kern w:val="0"/>
          <w:sz w:val="22"/>
          <w:lang w:val="fr-FR"/>
        </w:rPr>
      </w:pPr>
      <w:r>
        <w:rPr>
          <w:noProof/>
        </w:rPr>
        <w:t>8.</w:t>
      </w:r>
      <w:r>
        <w:rPr>
          <w:rFonts w:asciiTheme="minorHAnsi" w:eastAsiaTheme="minorEastAsia" w:hAnsiTheme="minorHAnsi" w:cstheme="minorBidi"/>
          <w:b w:val="0"/>
          <w:i w:val="0"/>
          <w:noProof/>
          <w:color w:val="auto"/>
          <w:kern w:val="0"/>
          <w:sz w:val="22"/>
          <w:lang w:val="fr-FR"/>
        </w:rPr>
        <w:tab/>
      </w:r>
      <w:r>
        <w:rPr>
          <w:noProof/>
        </w:rPr>
        <w:t>Dépôt du dossier</w:t>
      </w:r>
      <w:r>
        <w:rPr>
          <w:noProof/>
        </w:rPr>
        <w:tab/>
      </w:r>
      <w:r>
        <w:rPr>
          <w:noProof/>
        </w:rPr>
        <w:fldChar w:fldCharType="begin"/>
      </w:r>
      <w:r>
        <w:rPr>
          <w:noProof/>
        </w:rPr>
        <w:instrText xml:space="preserve"> PAGEREF _Toc100582435 \h </w:instrText>
      </w:r>
      <w:r>
        <w:rPr>
          <w:noProof/>
        </w:rPr>
      </w:r>
      <w:r>
        <w:rPr>
          <w:noProof/>
        </w:rPr>
        <w:fldChar w:fldCharType="separate"/>
      </w:r>
      <w:r>
        <w:rPr>
          <w:noProof/>
        </w:rPr>
        <w:t>14</w:t>
      </w:r>
      <w:r>
        <w:rPr>
          <w:noProof/>
        </w:rPr>
        <w:fldChar w:fldCharType="end"/>
      </w:r>
    </w:p>
    <w:p w14:paraId="52EA04EB" w14:textId="2AABDD06"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8.1</w:t>
      </w:r>
      <w:r>
        <w:rPr>
          <w:rFonts w:asciiTheme="minorHAnsi" w:eastAsiaTheme="minorEastAsia" w:hAnsiTheme="minorHAnsi" w:cstheme="minorBidi"/>
          <w:b w:val="0"/>
          <w:noProof/>
          <w:color w:val="auto"/>
          <w:kern w:val="0"/>
          <w:lang w:val="fr-FR"/>
        </w:rPr>
        <w:tab/>
      </w:r>
      <w:r w:rsidRPr="001B098E">
        <w:rPr>
          <w:noProof/>
          <w:lang w:val="fr-FR"/>
        </w:rPr>
        <w:t>Modalités du dépôt du dossier</w:t>
      </w:r>
      <w:r>
        <w:rPr>
          <w:noProof/>
        </w:rPr>
        <w:tab/>
      </w:r>
      <w:r>
        <w:rPr>
          <w:noProof/>
        </w:rPr>
        <w:fldChar w:fldCharType="begin"/>
      </w:r>
      <w:r>
        <w:rPr>
          <w:noProof/>
        </w:rPr>
        <w:instrText xml:space="preserve"> PAGEREF _Toc100582436 \h </w:instrText>
      </w:r>
      <w:r>
        <w:rPr>
          <w:noProof/>
        </w:rPr>
      </w:r>
      <w:r>
        <w:rPr>
          <w:noProof/>
        </w:rPr>
        <w:fldChar w:fldCharType="separate"/>
      </w:r>
      <w:r>
        <w:rPr>
          <w:noProof/>
        </w:rPr>
        <w:t>14</w:t>
      </w:r>
      <w:r>
        <w:rPr>
          <w:noProof/>
        </w:rPr>
        <w:fldChar w:fldCharType="end"/>
      </w:r>
    </w:p>
    <w:p w14:paraId="76CB886E" w14:textId="77E6D3FF" w:rsidR="004163ED" w:rsidRDefault="004163ED">
      <w:pPr>
        <w:pStyle w:val="TM2"/>
        <w:tabs>
          <w:tab w:val="left" w:pos="1134"/>
          <w:tab w:val="right" w:leader="dot" w:pos="10053"/>
        </w:tabs>
        <w:rPr>
          <w:rFonts w:asciiTheme="minorHAnsi" w:eastAsiaTheme="minorEastAsia" w:hAnsiTheme="minorHAnsi" w:cstheme="minorBidi"/>
          <w:b w:val="0"/>
          <w:noProof/>
          <w:color w:val="auto"/>
          <w:kern w:val="0"/>
          <w:lang w:val="fr-FR"/>
        </w:rPr>
      </w:pPr>
      <w:r>
        <w:rPr>
          <w:noProof/>
        </w:rPr>
        <w:t>8.2</w:t>
      </w:r>
      <w:r>
        <w:rPr>
          <w:rFonts w:asciiTheme="minorHAnsi" w:eastAsiaTheme="minorEastAsia" w:hAnsiTheme="minorHAnsi" w:cstheme="minorBidi"/>
          <w:b w:val="0"/>
          <w:noProof/>
          <w:color w:val="auto"/>
          <w:kern w:val="0"/>
          <w:lang w:val="fr-FR"/>
        </w:rPr>
        <w:tab/>
      </w:r>
      <w:r w:rsidRPr="001B098E">
        <w:rPr>
          <w:noProof/>
          <w:lang w:val="fr-FR"/>
        </w:rPr>
        <w:t>Calendrier</w:t>
      </w:r>
      <w:r>
        <w:rPr>
          <w:noProof/>
        </w:rPr>
        <w:tab/>
      </w:r>
      <w:r>
        <w:rPr>
          <w:noProof/>
        </w:rPr>
        <w:fldChar w:fldCharType="begin"/>
      </w:r>
      <w:r>
        <w:rPr>
          <w:noProof/>
        </w:rPr>
        <w:instrText xml:space="preserve"> PAGEREF _Toc100582437 \h </w:instrText>
      </w:r>
      <w:r>
        <w:rPr>
          <w:noProof/>
        </w:rPr>
      </w:r>
      <w:r>
        <w:rPr>
          <w:noProof/>
        </w:rPr>
        <w:fldChar w:fldCharType="separate"/>
      </w:r>
      <w:r>
        <w:rPr>
          <w:noProof/>
        </w:rPr>
        <w:t>14</w:t>
      </w:r>
      <w:r>
        <w:rPr>
          <w:noProof/>
        </w:rPr>
        <w:fldChar w:fldCharType="end"/>
      </w:r>
    </w:p>
    <w:p w14:paraId="793DD4BA" w14:textId="1A558696" w:rsidR="004163ED" w:rsidRDefault="004163ED">
      <w:pPr>
        <w:pStyle w:val="TM1"/>
        <w:tabs>
          <w:tab w:val="right" w:leader="dot" w:pos="10053"/>
        </w:tabs>
        <w:rPr>
          <w:rFonts w:asciiTheme="minorHAnsi" w:eastAsiaTheme="minorEastAsia" w:hAnsiTheme="minorHAnsi" w:cstheme="minorBidi"/>
          <w:b w:val="0"/>
          <w:i w:val="0"/>
          <w:noProof/>
          <w:color w:val="auto"/>
          <w:kern w:val="0"/>
          <w:sz w:val="22"/>
          <w:lang w:val="fr-FR"/>
        </w:rPr>
      </w:pPr>
      <w:r w:rsidRPr="001B098E">
        <w:rPr>
          <w:noProof/>
          <w:lang w:val="fr-FR"/>
        </w:rPr>
        <w:t>Annexe 1 : Fiche de synthèse technique à remettre en format excel</w:t>
      </w:r>
      <w:r>
        <w:rPr>
          <w:noProof/>
        </w:rPr>
        <w:tab/>
      </w:r>
      <w:r>
        <w:rPr>
          <w:noProof/>
        </w:rPr>
        <w:fldChar w:fldCharType="begin"/>
      </w:r>
      <w:r>
        <w:rPr>
          <w:noProof/>
        </w:rPr>
        <w:instrText xml:space="preserve"> PAGEREF _Toc100582438 \h </w:instrText>
      </w:r>
      <w:r>
        <w:rPr>
          <w:noProof/>
        </w:rPr>
      </w:r>
      <w:r>
        <w:rPr>
          <w:noProof/>
        </w:rPr>
        <w:fldChar w:fldCharType="separate"/>
      </w:r>
      <w:r>
        <w:rPr>
          <w:noProof/>
        </w:rPr>
        <w:t>15</w:t>
      </w:r>
      <w:r>
        <w:rPr>
          <w:noProof/>
        </w:rPr>
        <w:fldChar w:fldCharType="end"/>
      </w:r>
    </w:p>
    <w:p w14:paraId="5416CBA5" w14:textId="58110A3E" w:rsidR="004163ED" w:rsidRDefault="004163ED">
      <w:pPr>
        <w:pStyle w:val="TM1"/>
        <w:tabs>
          <w:tab w:val="right" w:leader="dot" w:pos="10053"/>
        </w:tabs>
        <w:rPr>
          <w:rFonts w:asciiTheme="minorHAnsi" w:eastAsiaTheme="minorEastAsia" w:hAnsiTheme="minorHAnsi" w:cstheme="minorBidi"/>
          <w:b w:val="0"/>
          <w:i w:val="0"/>
          <w:noProof/>
          <w:color w:val="auto"/>
          <w:kern w:val="0"/>
          <w:sz w:val="22"/>
          <w:lang w:val="fr-FR"/>
        </w:rPr>
      </w:pPr>
      <w:r w:rsidRPr="001B098E">
        <w:rPr>
          <w:noProof/>
          <w:lang w:val="fr-FR"/>
        </w:rPr>
        <w:t>Annexe 2 : TRL / Niveau de maturité technologique</w:t>
      </w:r>
      <w:r>
        <w:rPr>
          <w:noProof/>
        </w:rPr>
        <w:tab/>
      </w:r>
      <w:r>
        <w:rPr>
          <w:noProof/>
        </w:rPr>
        <w:fldChar w:fldCharType="begin"/>
      </w:r>
      <w:r>
        <w:rPr>
          <w:noProof/>
        </w:rPr>
        <w:instrText xml:space="preserve"> PAGEREF _Toc100582439 \h </w:instrText>
      </w:r>
      <w:r>
        <w:rPr>
          <w:noProof/>
        </w:rPr>
      </w:r>
      <w:r>
        <w:rPr>
          <w:noProof/>
        </w:rPr>
        <w:fldChar w:fldCharType="separate"/>
      </w:r>
      <w:r>
        <w:rPr>
          <w:noProof/>
        </w:rPr>
        <w:t>17</w:t>
      </w:r>
      <w:r>
        <w:rPr>
          <w:noProof/>
        </w:rPr>
        <w:fldChar w:fldCharType="end"/>
      </w:r>
    </w:p>
    <w:p w14:paraId="098F5E53" w14:textId="3B4B89D5" w:rsidR="004163ED" w:rsidRDefault="004163ED">
      <w:pPr>
        <w:pStyle w:val="TM1"/>
        <w:tabs>
          <w:tab w:val="right" w:leader="dot" w:pos="10053"/>
        </w:tabs>
        <w:rPr>
          <w:rFonts w:asciiTheme="minorHAnsi" w:eastAsiaTheme="minorEastAsia" w:hAnsiTheme="minorHAnsi" w:cstheme="minorBidi"/>
          <w:b w:val="0"/>
          <w:i w:val="0"/>
          <w:noProof/>
          <w:color w:val="auto"/>
          <w:kern w:val="0"/>
          <w:sz w:val="22"/>
          <w:lang w:val="fr-FR"/>
        </w:rPr>
      </w:pPr>
      <w:r w:rsidRPr="001B098E">
        <w:rPr>
          <w:noProof/>
          <w:lang w:val="fr-FR"/>
        </w:rPr>
        <w:t>Annexe 3 : Instrumentation de surveillance structurale et instrumentation prédictive</w:t>
      </w:r>
      <w:r>
        <w:rPr>
          <w:noProof/>
        </w:rPr>
        <w:tab/>
      </w:r>
      <w:r>
        <w:rPr>
          <w:noProof/>
        </w:rPr>
        <w:fldChar w:fldCharType="begin"/>
      </w:r>
      <w:r>
        <w:rPr>
          <w:noProof/>
        </w:rPr>
        <w:instrText xml:space="preserve"> PAGEREF _Toc100582440 \h </w:instrText>
      </w:r>
      <w:r>
        <w:rPr>
          <w:noProof/>
        </w:rPr>
      </w:r>
      <w:r>
        <w:rPr>
          <w:noProof/>
        </w:rPr>
        <w:fldChar w:fldCharType="separate"/>
      </w:r>
      <w:r>
        <w:rPr>
          <w:noProof/>
        </w:rPr>
        <w:t>18</w:t>
      </w:r>
      <w:r>
        <w:rPr>
          <w:noProof/>
        </w:rPr>
        <w:fldChar w:fldCharType="end"/>
      </w:r>
    </w:p>
    <w:p w14:paraId="4EA2B13C" w14:textId="163DEEA5" w:rsidR="00060E28" w:rsidRDefault="00AE66FF">
      <w:r>
        <w:rPr>
          <w:rFonts w:ascii="Calibri" w:eastAsia="Calibri" w:hAnsi="Calibri" w:cs="Calibri"/>
          <w:b/>
          <w:i/>
        </w:rPr>
        <w:fldChar w:fldCharType="end"/>
      </w:r>
    </w:p>
    <w:p w14:paraId="527626CF" w14:textId="77777777" w:rsidR="00060E28" w:rsidRDefault="00060E28"/>
    <w:p w14:paraId="19BBAF24" w14:textId="77777777" w:rsidR="00060E28" w:rsidRDefault="00060E28">
      <w:pPr>
        <w:pageBreakBefore/>
      </w:pPr>
    </w:p>
    <w:p w14:paraId="503AA6AF" w14:textId="77777777" w:rsidR="00060E28" w:rsidRDefault="00AE66FF" w:rsidP="000A499E">
      <w:pPr>
        <w:pStyle w:val="Style1"/>
        <w:numPr>
          <w:ilvl w:val="1"/>
          <w:numId w:val="8"/>
        </w:numPr>
        <w:outlineLvl w:val="0"/>
      </w:pPr>
      <w:bookmarkStart w:id="1" w:name="__RefHeading___Toc2699_4032596829"/>
      <w:bookmarkStart w:id="2" w:name="_Toc1"/>
      <w:bookmarkStart w:id="3" w:name="_Toc97630280"/>
      <w:bookmarkStart w:id="4" w:name="_Toc97665325"/>
      <w:bookmarkStart w:id="5" w:name="_Toc100582402"/>
      <w:r>
        <w:t>Préambule</w:t>
      </w:r>
      <w:bookmarkEnd w:id="1"/>
      <w:bookmarkEnd w:id="2"/>
      <w:bookmarkEnd w:id="3"/>
      <w:bookmarkEnd w:id="4"/>
      <w:bookmarkEnd w:id="5"/>
    </w:p>
    <w:p w14:paraId="751960A9" w14:textId="77777777" w:rsidR="00060E28" w:rsidRDefault="00AE66FF" w:rsidP="000A499E">
      <w:pPr>
        <w:pStyle w:val="Style2"/>
      </w:pPr>
      <w:bookmarkStart w:id="6" w:name="__RefHeading___Toc2701_4032596829"/>
      <w:bookmarkStart w:id="7" w:name="_Toc2"/>
      <w:bookmarkStart w:id="8" w:name="_Toc97630281"/>
      <w:bookmarkStart w:id="9" w:name="_Toc97665326"/>
      <w:bookmarkStart w:id="10" w:name="_Toc100582403"/>
      <w:r>
        <w:t>Instrumentation</w:t>
      </w:r>
      <w:bookmarkEnd w:id="6"/>
      <w:bookmarkEnd w:id="7"/>
      <w:bookmarkEnd w:id="8"/>
      <w:bookmarkEnd w:id="9"/>
      <w:bookmarkEnd w:id="10"/>
    </w:p>
    <w:p w14:paraId="699E3278" w14:textId="77777777" w:rsidR="00060E28" w:rsidRDefault="00060E28"/>
    <w:p w14:paraId="75032831" w14:textId="77777777" w:rsidR="00060E28" w:rsidRDefault="00AE66FF">
      <w:pPr>
        <w:jc w:val="both"/>
      </w:pPr>
      <w:r>
        <w:rPr>
          <w:lang w:val="fr-FR"/>
        </w:rPr>
        <w:t>L’instrumentation est une composante du système de surveillance qui doit permettre d’obtenir, via des indicateurs, une estimation de la performance d’un ouvrage pour le comparer à un niveau souhaité. Elle doit être intégrée dans un processus du service gestionnaire, pour ne pas être un système « expert » dont seuls les référents techniques pourront exploiter les résultats et dont l’intérêt restera limité pour le maître d’ouvrage.</w:t>
      </w:r>
    </w:p>
    <w:p w14:paraId="1529D0A5" w14:textId="77777777" w:rsidR="00060E28" w:rsidRDefault="00060E28">
      <w:pPr>
        <w:jc w:val="both"/>
      </w:pPr>
    </w:p>
    <w:p w14:paraId="003612B3" w14:textId="77777777" w:rsidR="00060E28" w:rsidRDefault="00AE66FF">
      <w:pPr>
        <w:jc w:val="both"/>
      </w:pPr>
      <w:r>
        <w:rPr>
          <w:lang w:val="fr-FR"/>
        </w:rPr>
        <w:t>La mise en place d’une instrumentation doit répondre à des objectifs définis en amont de sa mise en œuvre. Ces objectifs conditionnent la nature des grandeurs physiques mesurées, la fréquence, la précision et la plage des mesures, la position des capteurs, le taux d’indisponibilité, la durée de l’instrumentation et le mode de transmission des données au maître d’ouvrage.</w:t>
      </w:r>
    </w:p>
    <w:p w14:paraId="35781ED1" w14:textId="77777777" w:rsidR="00060E28" w:rsidRDefault="00060E28">
      <w:pPr>
        <w:jc w:val="both"/>
      </w:pPr>
    </w:p>
    <w:p w14:paraId="5C42FDD5" w14:textId="77777777" w:rsidR="00060E28" w:rsidRDefault="00AE66FF">
      <w:pPr>
        <w:jc w:val="both"/>
      </w:pPr>
      <w:r>
        <w:rPr>
          <w:lang w:val="fr-FR"/>
        </w:rPr>
        <w:t>Pour répondre à l’ensemble de ces objectifs, l’instrumentation doit être en capacité d’assurer deux fonctions principales :</w:t>
      </w:r>
    </w:p>
    <w:p w14:paraId="1110CEAA" w14:textId="77777777" w:rsidR="00060E28" w:rsidRDefault="00AE66FF">
      <w:pPr>
        <w:numPr>
          <w:ilvl w:val="0"/>
          <w:numId w:val="28"/>
        </w:numPr>
        <w:jc w:val="both"/>
      </w:pPr>
      <w:r>
        <w:rPr>
          <w:lang w:val="fr-FR"/>
        </w:rPr>
        <w:t>Fonction 1 : mesurer le comportement des structures et les caractéristiques des matériaux et suivre leurs évolutions dans le temps ;</w:t>
      </w:r>
    </w:p>
    <w:p w14:paraId="4CD51404" w14:textId="77777777" w:rsidR="00060E28" w:rsidRDefault="00AE66FF">
      <w:pPr>
        <w:numPr>
          <w:ilvl w:val="0"/>
          <w:numId w:val="28"/>
        </w:numPr>
        <w:jc w:val="both"/>
      </w:pPr>
      <w:r>
        <w:rPr>
          <w:lang w:val="fr-FR"/>
        </w:rPr>
        <w:t>Fonction 2 : détecter des événements ponctuels (ex : déversement d’un mur de soutènement, apparition de fissures, rupture d’un tirant d’ancrage d’un dispositif d’amarrage, chocs, événements climatiques exceptionnels, etc.).</w:t>
      </w:r>
    </w:p>
    <w:p w14:paraId="256DC980" w14:textId="77777777" w:rsidR="00060E28" w:rsidRDefault="00060E28">
      <w:pPr>
        <w:jc w:val="both"/>
      </w:pPr>
    </w:p>
    <w:p w14:paraId="7FD80A7D" w14:textId="77777777" w:rsidR="00060E28" w:rsidRDefault="00AE66FF">
      <w:pPr>
        <w:jc w:val="both"/>
      </w:pPr>
      <w:r>
        <w:rPr>
          <w:b/>
          <w:lang w:val="fr-FR"/>
        </w:rPr>
        <w:t>Le présent appel d’offre traite uniquement de la fonction 1.</w:t>
      </w:r>
    </w:p>
    <w:p w14:paraId="1E175932" w14:textId="77777777" w:rsidR="00060E28" w:rsidRDefault="00060E28">
      <w:pPr>
        <w:jc w:val="both"/>
      </w:pPr>
    </w:p>
    <w:p w14:paraId="00C58957" w14:textId="77777777" w:rsidR="00060E28" w:rsidRDefault="00AE66FF">
      <w:pPr>
        <w:shd w:val="clear" w:color="auto" w:fill="FFFFFF"/>
        <w:ind w:right="150"/>
        <w:jc w:val="both"/>
      </w:pPr>
      <w:r>
        <w:rPr>
          <w:lang w:val="fr-FR"/>
        </w:rPr>
        <w:t>L’instrumentation doit être adaptée aux objectifs visés :</w:t>
      </w:r>
    </w:p>
    <w:p w14:paraId="35328E98" w14:textId="77777777" w:rsidR="00060E28" w:rsidRDefault="00060E28"/>
    <w:p w14:paraId="6F953BB4" w14:textId="77777777" w:rsidR="00060E28" w:rsidRDefault="00AE66FF">
      <w:pPr>
        <w:numPr>
          <w:ilvl w:val="0"/>
          <w:numId w:val="29"/>
        </w:numPr>
        <w:shd w:val="clear" w:color="auto" w:fill="FFFFFF"/>
        <w:jc w:val="both"/>
      </w:pPr>
      <w:r>
        <w:rPr>
          <w:lang w:val="fr-FR"/>
        </w:rPr>
        <w:t>Objectif 1 : Instrumentation pour la haute surveillance ou la surveillance renforcée</w:t>
      </w:r>
    </w:p>
    <w:p w14:paraId="4B204F9B" w14:textId="77777777" w:rsidR="00060E28" w:rsidRDefault="00060E28">
      <w:pPr>
        <w:shd w:val="clear" w:color="auto" w:fill="FFFFFF"/>
        <w:jc w:val="both"/>
      </w:pPr>
    </w:p>
    <w:p w14:paraId="319ABC0F" w14:textId="77777777" w:rsidR="00060E28" w:rsidRDefault="00AE66FF">
      <w:pPr>
        <w:shd w:val="clear" w:color="auto" w:fill="FFFFFF"/>
        <w:jc w:val="both"/>
      </w:pPr>
      <w:r>
        <w:rPr>
          <w:lang w:val="fr-FR"/>
        </w:rPr>
        <w:t>Ce type d’instrumentation est mis en place lorsque les désordres constatés sur un ouvrage paraissent susceptibles de mettre en cause la sécurité ou la tenue de l’ouvrage. Dans le cas d’une haute surveillance, il est destiné à permettre, en cas de danger imminent, le déclenchement immédiat des actions nécessaires pour assurer la sécurité et permet de maintenir l’ouvrage en service le temps d’étudier et effectuer la réparation.</w:t>
      </w:r>
    </w:p>
    <w:p w14:paraId="182D619F" w14:textId="77777777" w:rsidR="00060E28" w:rsidRDefault="00060E28">
      <w:pPr>
        <w:shd w:val="clear" w:color="auto" w:fill="FFFFFF"/>
        <w:jc w:val="both"/>
      </w:pPr>
    </w:p>
    <w:p w14:paraId="2006BFE5" w14:textId="77777777" w:rsidR="00060E28" w:rsidRDefault="00AE66FF">
      <w:pPr>
        <w:numPr>
          <w:ilvl w:val="0"/>
          <w:numId w:val="29"/>
        </w:numPr>
        <w:shd w:val="clear" w:color="auto" w:fill="FFFFFF"/>
        <w:jc w:val="both"/>
      </w:pPr>
      <w:r>
        <w:rPr>
          <w:lang w:val="fr-FR"/>
        </w:rPr>
        <w:t>Objectif 2 : Instrumentation de validation du comportement structurel et d’aide au diagnostic</w:t>
      </w:r>
    </w:p>
    <w:p w14:paraId="3DFC7155" w14:textId="77777777" w:rsidR="00060E28" w:rsidRDefault="00060E28">
      <w:pPr>
        <w:shd w:val="clear" w:color="auto" w:fill="FFFFFF"/>
        <w:jc w:val="both"/>
      </w:pPr>
    </w:p>
    <w:p w14:paraId="1894AC1D" w14:textId="77777777" w:rsidR="00060E28" w:rsidRDefault="00AE66FF">
      <w:r>
        <w:rPr>
          <w:lang w:val="fr-FR"/>
        </w:rPr>
        <w:t>Ce type d’instrumentation est destiné à valider des hypothèses de modélisation ou d’évolution de la structure. Il peut être mis en place dès la construction pour vérifier le comportement de l’ouvrage, ou au cours de la vie de l’ouvrage, après identification d’une pathologie, pour aider au diagnostic (comme dans le cas d’ouvrages présentant des expansions) ou après réparation pour s’assurer de son efficacité. Il s’agit généralement d’une instrumentation de court ou moyen terme, c’est-à-dire de quelques semaines à quelques années, qui permet de détecter rapidement des erreurs de conception ou de réalisation.</w:t>
      </w:r>
    </w:p>
    <w:p w14:paraId="1A9B8D09" w14:textId="77777777" w:rsidR="00060E28" w:rsidRDefault="00060E28">
      <w:pPr>
        <w:shd w:val="clear" w:color="auto" w:fill="FFFFFF"/>
        <w:jc w:val="both"/>
      </w:pPr>
    </w:p>
    <w:p w14:paraId="5C7E4418" w14:textId="77777777" w:rsidR="00060E28" w:rsidRDefault="00AE66FF">
      <w:pPr>
        <w:numPr>
          <w:ilvl w:val="0"/>
          <w:numId w:val="29"/>
        </w:numPr>
        <w:shd w:val="clear" w:color="auto" w:fill="FFFFFF"/>
        <w:jc w:val="both"/>
      </w:pPr>
      <w:r>
        <w:rPr>
          <w:lang w:val="fr-FR"/>
        </w:rPr>
        <w:t>Objectif 3 : Instrumentation de surveillance structurale et instrumentation prédictive</w:t>
      </w:r>
    </w:p>
    <w:p w14:paraId="730744E7" w14:textId="77777777" w:rsidR="00060E28" w:rsidRDefault="00060E28">
      <w:pPr>
        <w:jc w:val="both"/>
      </w:pPr>
    </w:p>
    <w:p w14:paraId="78EB393E" w14:textId="77777777" w:rsidR="00060E28" w:rsidRDefault="00AE66FF">
      <w:pPr>
        <w:jc w:val="both"/>
      </w:pPr>
      <w:r>
        <w:rPr>
          <w:lang w:val="fr-FR"/>
        </w:rPr>
        <w:t>L’instrumentation de surveillance structurale est une instrumentation de long terme (plusieurs années à plusieurs décennies) destinée à améliorer la connaissance de l’évolution du fonctionnement de la structure. Elle génère des indicateurs permettant d’aider le gestionnaire dans la connaissance de la durée de vie de ses ouvrages et la programmation de ses travaux d’entretien. Elle est notamment susceptible de quantifier l’endommagement de la structure et de détecter les comportements irréversibles de long terme. L’instrumentation peut être prédictive si elle est en mesure d’indiquer à quelle date certains seuils de performance minimaux seront atteints et nécessiteront d’entreprendre des travaux. Ceci nécessite toutefois de pouvoir paramétrer des modèles prédictifs à l’aide des données collectées par l’instrumentation.</w:t>
      </w:r>
    </w:p>
    <w:p w14:paraId="72FFEBF1" w14:textId="77777777" w:rsidR="00060E28" w:rsidRDefault="00060E28">
      <w:pPr>
        <w:jc w:val="both"/>
      </w:pPr>
    </w:p>
    <w:p w14:paraId="5F0B7675" w14:textId="77777777" w:rsidR="00060E28" w:rsidRDefault="00AE66FF">
      <w:pPr>
        <w:jc w:val="both"/>
      </w:pPr>
      <w:r>
        <w:rPr>
          <w:b/>
          <w:lang w:val="fr-FR"/>
        </w:rPr>
        <w:t>L’instrumentation visée par le présent appel d’offre s’inscrit principalement dans l’objectif 3 (annexe 3). Elle peut également répondre en partie à l’objectif 2 lorsqu’il s’agit de suivre le comportement dans le temps d’une réparation.</w:t>
      </w:r>
    </w:p>
    <w:p w14:paraId="55CC54B9" w14:textId="77777777" w:rsidR="00060E28" w:rsidRDefault="00060E28">
      <w:pPr>
        <w:jc w:val="both"/>
      </w:pPr>
    </w:p>
    <w:p w14:paraId="1ADB1E77" w14:textId="77777777" w:rsidR="00060E28" w:rsidRDefault="00060E28">
      <w:pPr>
        <w:jc w:val="both"/>
      </w:pPr>
    </w:p>
    <w:p w14:paraId="632C8C3A" w14:textId="77777777" w:rsidR="00060E28" w:rsidRDefault="00AE66FF" w:rsidP="000A499E">
      <w:pPr>
        <w:pStyle w:val="Style2"/>
      </w:pPr>
      <w:bookmarkStart w:id="11" w:name="__RefHeading___Toc2703_4032596829"/>
      <w:bookmarkStart w:id="12" w:name="_Toc3"/>
      <w:bookmarkStart w:id="13" w:name="_Toc97630282"/>
      <w:bookmarkStart w:id="14" w:name="_Toc97665327"/>
      <w:bookmarkStart w:id="15" w:name="_Toc100582404"/>
      <w:r>
        <w:rPr>
          <w:lang w:val="fr-FR"/>
        </w:rPr>
        <w:lastRenderedPageBreak/>
        <w:t>Contexte portuaire</w:t>
      </w:r>
      <w:bookmarkEnd w:id="11"/>
      <w:bookmarkEnd w:id="12"/>
      <w:bookmarkEnd w:id="13"/>
      <w:bookmarkEnd w:id="14"/>
      <w:bookmarkEnd w:id="15"/>
    </w:p>
    <w:p w14:paraId="3F0C7479" w14:textId="77777777" w:rsidR="00060E28" w:rsidRDefault="00060E28"/>
    <w:p w14:paraId="5BDD12E8" w14:textId="77777777" w:rsidR="00060E28" w:rsidRDefault="00AE66FF">
      <w:pPr>
        <w:pStyle w:val="Textbody"/>
        <w:jc w:val="both"/>
      </w:pPr>
      <w:r>
        <w:rPr>
          <w:rFonts w:ascii="Arial" w:eastAsia="Arial" w:hAnsi="Arial" w:cs="Arial"/>
          <w:color w:val="484D7A"/>
          <w:sz w:val="20"/>
          <w:lang w:val="fr-FR"/>
        </w:rPr>
        <w:t>Les infrastructures portuaires sont particulièrement sollicitées (environnement agressif pour les matériaux, charges d’exploitation). Compte-tenu des enjeux liées à leur exploitation, il convient de disposer d’outils de surveillance qui permettent d’anticiper les dégradations ou d’évaluer le comportement structurel de l’ouvrage afin de programmer de manière optimisée les actions de maintenance ou de renforcement le cas échéant.</w:t>
      </w:r>
    </w:p>
    <w:p w14:paraId="4B2B3D06" w14:textId="77777777" w:rsidR="00060E28" w:rsidRDefault="00060E28">
      <w:pPr>
        <w:pStyle w:val="Textbody"/>
        <w:jc w:val="both"/>
      </w:pPr>
    </w:p>
    <w:p w14:paraId="54D0FADA" w14:textId="77777777" w:rsidR="00060E28" w:rsidRDefault="00AE66FF">
      <w:pPr>
        <w:pStyle w:val="Textbody"/>
        <w:jc w:val="both"/>
      </w:pPr>
      <w:r>
        <w:rPr>
          <w:rFonts w:ascii="Arial" w:eastAsia="Arial" w:hAnsi="Arial" w:cs="Arial"/>
          <w:color w:val="484D7A"/>
          <w:sz w:val="20"/>
          <w:lang w:val="fr-FR"/>
        </w:rPr>
        <w:t>La surveillance visuelle est indispensable mais peut ne pas suffire dans certains cas. Des investigations spécifiques doivent alors être menées. Ces investigations s’appuient le plus souvent sur le déploiement de moyens destructifs parfois de moyens de contrôles non destructifs ; elles sont généralement coûteuses ; elles nécessitent également des moyens d’accès spécifiques. Les conditions d’intervention sont par ailleurs contraignantes (marée, partie d’ouvrage difficilement accessibles).</w:t>
      </w:r>
    </w:p>
    <w:p w14:paraId="703457B5" w14:textId="77777777" w:rsidR="00060E28" w:rsidRDefault="00060E28">
      <w:pPr>
        <w:pStyle w:val="Textbody"/>
        <w:jc w:val="both"/>
      </w:pPr>
    </w:p>
    <w:p w14:paraId="2315A4C8" w14:textId="77777777" w:rsidR="00060E28" w:rsidRDefault="00AE66FF">
      <w:pPr>
        <w:pStyle w:val="Textbody"/>
        <w:jc w:val="both"/>
      </w:pPr>
      <w:r>
        <w:rPr>
          <w:rFonts w:ascii="Arial" w:eastAsia="Arial" w:hAnsi="Arial" w:cs="Arial"/>
          <w:color w:val="484D7A"/>
          <w:sz w:val="20"/>
          <w:lang w:val="fr-FR"/>
        </w:rPr>
        <w:t>Dans ce contexte, les solutions d’instrumentations ou de monitoring paraissent séduisantes (accès à distance pour récupération de diverses données selon la problématique). Les développements récents en matière d’instrumentation (capteurs, télécommunication, traitement et analyse des données) sont susceptibles de répondre aux besoins de surveillance et de gestion des infrastructures.</w:t>
      </w:r>
    </w:p>
    <w:p w14:paraId="105F4109" w14:textId="77777777" w:rsidR="00060E28" w:rsidRDefault="00060E28"/>
    <w:p w14:paraId="31A1F842" w14:textId="77777777" w:rsidR="00060E28" w:rsidRDefault="00060E28">
      <w:pPr>
        <w:pStyle w:val="Paragraphedeliste"/>
        <w:outlineLvl w:val="1"/>
        <w:rPr>
          <w:rFonts w:ascii="Calibri Light" w:eastAsia="Calibri Light" w:hAnsi="Calibri Light" w:cs="Calibri Light"/>
          <w:vanish/>
          <w:color w:val="2F5496"/>
          <w:sz w:val="26"/>
          <w:lang w:val="fr-FR"/>
        </w:rPr>
      </w:pPr>
      <w:bookmarkStart w:id="16" w:name="__RefHeading___Toc750_1861445834"/>
      <w:bookmarkStart w:id="17" w:name="_Toc4"/>
      <w:bookmarkStart w:id="18" w:name="_Toc97630283"/>
      <w:bookmarkStart w:id="19" w:name="_Toc97665328"/>
    </w:p>
    <w:p w14:paraId="2DBDCEB3" w14:textId="77777777" w:rsidR="00060E28" w:rsidRDefault="00AE66FF" w:rsidP="000A499E">
      <w:pPr>
        <w:pStyle w:val="Style1"/>
        <w:numPr>
          <w:ilvl w:val="1"/>
          <w:numId w:val="8"/>
        </w:numPr>
        <w:outlineLvl w:val="0"/>
      </w:pPr>
      <w:bookmarkStart w:id="20" w:name="_Toc100582405"/>
      <w:r>
        <w:t>Objectifs de l’appel à projets</w:t>
      </w:r>
      <w:bookmarkEnd w:id="16"/>
      <w:bookmarkEnd w:id="17"/>
      <w:bookmarkEnd w:id="18"/>
      <w:bookmarkEnd w:id="19"/>
      <w:bookmarkEnd w:id="20"/>
    </w:p>
    <w:p w14:paraId="65AF70E2" w14:textId="77777777" w:rsidR="00060E28" w:rsidRDefault="00060E28">
      <w:pPr>
        <w:jc w:val="both"/>
      </w:pPr>
    </w:p>
    <w:p w14:paraId="168A6F5D" w14:textId="77777777" w:rsidR="00060E28" w:rsidRDefault="00AE66FF">
      <w:r>
        <w:rPr>
          <w:b/>
          <w:lang w:val="fr-FR"/>
        </w:rPr>
        <w:t>L’appel à projets vise à soutenir des initiatives innovantes pour développer de nouveaux procédés de surveillance et de gestion des ouvrages portuaires. La démarche comprend le développement et la mise en place, à titre expérimental et prospectif, de dispositifs d’instrumentations innovants sur un ou plusieurs ouvrages portuaires.</w:t>
      </w:r>
    </w:p>
    <w:p w14:paraId="57DEED6B" w14:textId="77777777" w:rsidR="00060E28" w:rsidRDefault="00AE66FF">
      <w:pPr>
        <w:jc w:val="both"/>
      </w:pPr>
      <w:r>
        <w:rPr>
          <w:b/>
          <w:lang w:val="fr-FR"/>
        </w:rPr>
        <w:t>Les dispositifs visés par l’appel à projet peuvent s’inscrire dans des actions de recherche, des travaux exploratoires, des incubateurs d’idées et des études d’opportunité. Pour des projets plus matures, l’appel à projets peut contribuer à accélérer le développement de prototypes ou la diffusion de dispositifs existants mais peu éprouvés.</w:t>
      </w:r>
    </w:p>
    <w:p w14:paraId="1E470946" w14:textId="77777777" w:rsidR="00060E28" w:rsidRDefault="00060E28"/>
    <w:p w14:paraId="263B8F62" w14:textId="77777777" w:rsidR="00060E28" w:rsidRDefault="00AE66FF">
      <w:r>
        <w:rPr>
          <w:lang w:val="fr-FR"/>
        </w:rPr>
        <w:t>L’objectif de l’appel à projet est donc d’expérimenter et de tester en condition réelle des solutions d’instrumentation innovantes ou peu éprouvées :</w:t>
      </w:r>
    </w:p>
    <w:p w14:paraId="55F86AFB" w14:textId="77777777" w:rsidR="00060E28" w:rsidRDefault="00AE66FF">
      <w:pPr>
        <w:numPr>
          <w:ilvl w:val="0"/>
          <w:numId w:val="30"/>
        </w:numPr>
      </w:pPr>
      <w:proofErr w:type="gramStart"/>
      <w:r>
        <w:rPr>
          <w:lang w:val="fr-FR"/>
        </w:rPr>
        <w:t>suivi</w:t>
      </w:r>
      <w:proofErr w:type="gramEnd"/>
      <w:r>
        <w:rPr>
          <w:lang w:val="fr-FR"/>
        </w:rPr>
        <w:t xml:space="preserve"> à moyen/long terme des indicateurs de vieillissement des ouvrages,</w:t>
      </w:r>
    </w:p>
    <w:p w14:paraId="362D0ADB" w14:textId="77777777" w:rsidR="00060E28" w:rsidRDefault="00AE66FF">
      <w:pPr>
        <w:numPr>
          <w:ilvl w:val="0"/>
          <w:numId w:val="30"/>
        </w:numPr>
      </w:pPr>
      <w:proofErr w:type="gramStart"/>
      <w:r>
        <w:rPr>
          <w:lang w:val="fr-FR"/>
        </w:rPr>
        <w:t>suivi</w:t>
      </w:r>
      <w:proofErr w:type="gramEnd"/>
      <w:r>
        <w:rPr>
          <w:lang w:val="fr-FR"/>
        </w:rPr>
        <w:t xml:space="preserve"> et anticipation des processus de dégradations pour programmer les actions de maintenance de manière optimale (coût, efficacité, durabilité).</w:t>
      </w:r>
    </w:p>
    <w:p w14:paraId="79064E12" w14:textId="77777777" w:rsidR="00060E28" w:rsidRDefault="00060E28"/>
    <w:p w14:paraId="01EDF291" w14:textId="77777777" w:rsidR="00060E28" w:rsidRDefault="00AE66FF">
      <w:r>
        <w:rPr>
          <w:lang w:val="fr-FR"/>
        </w:rPr>
        <w:t>L’expérimentation devra intégrer les contraintes liées à l’installation du dispositif :</w:t>
      </w:r>
    </w:p>
    <w:p w14:paraId="207F590E" w14:textId="77777777" w:rsidR="00060E28" w:rsidRDefault="00AE66FF">
      <w:pPr>
        <w:numPr>
          <w:ilvl w:val="0"/>
          <w:numId w:val="30"/>
        </w:numPr>
      </w:pPr>
      <w:proofErr w:type="gramStart"/>
      <w:r>
        <w:rPr>
          <w:lang w:val="fr-FR"/>
        </w:rPr>
        <w:t>accessibilité</w:t>
      </w:r>
      <w:proofErr w:type="gramEnd"/>
      <w:r>
        <w:rPr>
          <w:lang w:val="fr-FR"/>
        </w:rPr>
        <w:t xml:space="preserve"> aux zones à instrumenter,</w:t>
      </w:r>
    </w:p>
    <w:p w14:paraId="5088204A" w14:textId="77777777" w:rsidR="00060E28" w:rsidRDefault="00AE66FF">
      <w:pPr>
        <w:numPr>
          <w:ilvl w:val="0"/>
          <w:numId w:val="30"/>
        </w:numPr>
      </w:pPr>
      <w:proofErr w:type="gramStart"/>
      <w:r>
        <w:rPr>
          <w:lang w:val="fr-FR"/>
        </w:rPr>
        <w:t>conditions</w:t>
      </w:r>
      <w:proofErr w:type="gramEnd"/>
      <w:r>
        <w:rPr>
          <w:lang w:val="fr-FR"/>
        </w:rPr>
        <w:t xml:space="preserve"> maritimes (marées),</w:t>
      </w:r>
    </w:p>
    <w:p w14:paraId="114B9C30" w14:textId="77777777" w:rsidR="00060E28" w:rsidRDefault="00AE66FF">
      <w:pPr>
        <w:numPr>
          <w:ilvl w:val="0"/>
          <w:numId w:val="30"/>
        </w:numPr>
      </w:pPr>
      <w:proofErr w:type="gramStart"/>
      <w:r>
        <w:rPr>
          <w:lang w:val="fr-FR"/>
        </w:rPr>
        <w:t>interfaçage</w:t>
      </w:r>
      <w:proofErr w:type="gramEnd"/>
      <w:r>
        <w:rPr>
          <w:lang w:val="fr-FR"/>
        </w:rPr>
        <w:t xml:space="preserve"> avec les éventuelles entreprises (de travaux notamment) présentes sur les infrastructures.</w:t>
      </w:r>
    </w:p>
    <w:p w14:paraId="1CB3A718" w14:textId="77777777" w:rsidR="00060E28" w:rsidRDefault="00060E28"/>
    <w:p w14:paraId="331E0C66" w14:textId="77777777" w:rsidR="00060E28" w:rsidRDefault="00AE66FF">
      <w:r>
        <w:rPr>
          <w:lang w:val="fr-FR"/>
        </w:rPr>
        <w:t>L’expérimentation devra permettre d’établir un retour d’expérience sur les points suivants :</w:t>
      </w:r>
    </w:p>
    <w:p w14:paraId="22CE863D" w14:textId="77777777" w:rsidR="00060E28" w:rsidRDefault="00AE66FF">
      <w:pPr>
        <w:numPr>
          <w:ilvl w:val="0"/>
          <w:numId w:val="30"/>
        </w:numPr>
      </w:pPr>
      <w:r>
        <w:rPr>
          <w:lang w:val="fr-FR"/>
        </w:rPr>
        <w:t>Apport des nouvelles technologies d’instrumentation,</w:t>
      </w:r>
    </w:p>
    <w:p w14:paraId="68009C30" w14:textId="77777777" w:rsidR="00060E28" w:rsidRDefault="00AE66FF">
      <w:pPr>
        <w:numPr>
          <w:ilvl w:val="0"/>
          <w:numId w:val="30"/>
        </w:numPr>
      </w:pPr>
      <w:r>
        <w:rPr>
          <w:lang w:val="fr-FR"/>
        </w:rPr>
        <w:t>Confrontation de l’offre aux besoins et contraintes des maîtres d’ouvrage,</w:t>
      </w:r>
    </w:p>
    <w:p w14:paraId="7A74C8F5" w14:textId="77777777" w:rsidR="00060E28" w:rsidRDefault="00AE66FF">
      <w:pPr>
        <w:numPr>
          <w:ilvl w:val="0"/>
          <w:numId w:val="30"/>
        </w:numPr>
      </w:pPr>
      <w:r>
        <w:rPr>
          <w:lang w:val="fr-FR"/>
        </w:rPr>
        <w:t>Points d’intérêt et axes à renforcer en matière d’organisation et de méthodes de surveillance,</w:t>
      </w:r>
    </w:p>
    <w:p w14:paraId="6D4E51F1" w14:textId="77777777" w:rsidR="00060E28" w:rsidRDefault="00AE66FF">
      <w:pPr>
        <w:numPr>
          <w:ilvl w:val="0"/>
          <w:numId w:val="30"/>
        </w:numPr>
      </w:pPr>
      <w:r>
        <w:rPr>
          <w:lang w:val="fr-FR"/>
        </w:rPr>
        <w:t>Durabilité et robustesse des procédés.</w:t>
      </w:r>
    </w:p>
    <w:p w14:paraId="70AA7CF7" w14:textId="77777777" w:rsidR="00060E28" w:rsidRDefault="00060E28"/>
    <w:p w14:paraId="5788F7A8" w14:textId="77777777" w:rsidR="00060E28" w:rsidRDefault="00060E28"/>
    <w:p w14:paraId="3C91BF79" w14:textId="77777777" w:rsidR="00060E28" w:rsidRDefault="00AE66FF" w:rsidP="000A499E">
      <w:pPr>
        <w:pStyle w:val="Style1"/>
        <w:numPr>
          <w:ilvl w:val="1"/>
          <w:numId w:val="8"/>
        </w:numPr>
        <w:outlineLvl w:val="0"/>
      </w:pPr>
      <w:bookmarkStart w:id="21" w:name="__RefHeading___Toc2707_4032596829"/>
      <w:bookmarkStart w:id="22" w:name="_Toc5"/>
      <w:bookmarkStart w:id="23" w:name="_Toc97630284"/>
      <w:bookmarkStart w:id="24" w:name="_Toc97665329"/>
      <w:bookmarkStart w:id="25" w:name="_Toc100582406"/>
      <w:r>
        <w:t>Champs et périmètre de l’appel à projet</w:t>
      </w:r>
      <w:bookmarkEnd w:id="21"/>
      <w:bookmarkEnd w:id="22"/>
      <w:bookmarkEnd w:id="23"/>
      <w:bookmarkEnd w:id="24"/>
      <w:bookmarkEnd w:id="25"/>
    </w:p>
    <w:p w14:paraId="3E6B5DD3" w14:textId="77777777" w:rsidR="00060E28" w:rsidRDefault="00060E28"/>
    <w:p w14:paraId="37FB2B77" w14:textId="22E9829C" w:rsidR="00060E28" w:rsidRDefault="00AE66FF">
      <w:pPr>
        <w:pStyle w:val="Textbody"/>
        <w:jc w:val="both"/>
      </w:pPr>
      <w:r>
        <w:rPr>
          <w:rFonts w:ascii="Arial" w:eastAsia="Arial" w:hAnsi="Arial" w:cs="Arial"/>
          <w:b/>
          <w:color w:val="484D7A"/>
          <w:sz w:val="20"/>
          <w:lang w:val="fr-FR"/>
        </w:rPr>
        <w:t>Le développement de nouveaux capteurs permet d’envisager une utilisation élargie de l’instrumentation pour la gestion des infrastructures portuaires. Compte-tenu de la nature du patrimoine portuaire de la Région Bretagne</w:t>
      </w:r>
      <w:r w:rsidR="00841ED9" w:rsidRPr="00C47017">
        <w:rPr>
          <w:rFonts w:ascii="Arial" w:eastAsia="Arial" w:hAnsi="Arial" w:cs="Arial"/>
          <w:b/>
          <w:color w:val="484D7A"/>
          <w:sz w:val="20"/>
          <w:lang w:val="fr-FR"/>
        </w:rPr>
        <w:t>, dont l’accès est ouvert aux porteurs de projet comme support à la recherche/expérimentation soutenue par le présent appel à projets</w:t>
      </w:r>
      <w:r>
        <w:rPr>
          <w:rFonts w:ascii="Arial" w:eastAsia="Arial" w:hAnsi="Arial" w:cs="Arial"/>
          <w:b/>
          <w:color w:val="484D7A"/>
          <w:sz w:val="20"/>
          <w:lang w:val="fr-FR"/>
        </w:rPr>
        <w:t xml:space="preserve"> (proportion significative de structures en béton armé</w:t>
      </w:r>
      <w:r w:rsidR="001D0A4D">
        <w:rPr>
          <w:rFonts w:ascii="Arial" w:eastAsia="Arial" w:hAnsi="Arial" w:cs="Arial"/>
          <w:b/>
          <w:color w:val="484D7A"/>
          <w:sz w:val="20"/>
          <w:lang w:val="fr-FR"/>
        </w:rPr>
        <w:t>, présentes dans de nombreux ports français,</w:t>
      </w:r>
      <w:r>
        <w:rPr>
          <w:rFonts w:ascii="Arial" w:eastAsia="Arial" w:hAnsi="Arial" w:cs="Arial"/>
          <w:b/>
          <w:color w:val="484D7A"/>
          <w:sz w:val="20"/>
          <w:lang w:val="fr-FR"/>
        </w:rPr>
        <w:t xml:space="preserve"> à forts enjeux exposées à un environnement marin agressif et dégradées par les effets de la corrosion), le présent appel à projet concerne le processus de corrosion des structures en béton armé.</w:t>
      </w:r>
    </w:p>
    <w:p w14:paraId="39BF3678" w14:textId="77777777" w:rsidR="00060E28" w:rsidRDefault="00060E28">
      <w:pPr>
        <w:pStyle w:val="Textbody"/>
        <w:jc w:val="both"/>
      </w:pPr>
    </w:p>
    <w:p w14:paraId="779962F2" w14:textId="77777777" w:rsidR="00060E28" w:rsidRDefault="00AE66FF">
      <w:pPr>
        <w:jc w:val="both"/>
      </w:pPr>
      <w:r>
        <w:rPr>
          <w:b/>
          <w:lang w:val="fr-FR"/>
        </w:rPr>
        <w:t>L’appel à projet concerne donc les infrastructures portuaires en béton armé en service, en réparation ou en cours de construction. Le dispositif d’instrumentation doit permettre de suivre le processus de corrosion des armatures dans sa phase d’incubation et/ou de propagation. À ce titre, l’appel à projet s’inscrit dans une démarche d’instrumentation structurale et prédictive des ouvrages telle que définie à l’article 1.1 (fonction 1, objectif 3) (annexe 3). Le caractère innovant (ou peu éprouvé) du dispositif porte sur les capteurs, leur mode d’interrogation et éventuellement les modalités d’analyse et d’interprétation des données.</w:t>
      </w:r>
    </w:p>
    <w:p w14:paraId="5275D772" w14:textId="77777777" w:rsidR="00060E28" w:rsidRDefault="00060E28">
      <w:pPr>
        <w:jc w:val="both"/>
      </w:pPr>
    </w:p>
    <w:p w14:paraId="0DD7223C" w14:textId="77777777" w:rsidR="00060E28" w:rsidRDefault="00AE66FF">
      <w:pPr>
        <w:jc w:val="both"/>
      </w:pPr>
      <w:r>
        <w:rPr>
          <w:b/>
          <w:lang w:val="fr-FR"/>
        </w:rPr>
        <w:t>Les projets devront s’inscrire dans une des thématiques obligatoires suivantes :</w:t>
      </w:r>
    </w:p>
    <w:p w14:paraId="114907E7" w14:textId="77777777" w:rsidR="00060E28" w:rsidRDefault="00060E28">
      <w:pPr>
        <w:jc w:val="both"/>
      </w:pPr>
    </w:p>
    <w:p w14:paraId="39C0F3EC" w14:textId="77777777" w:rsidR="00060E28" w:rsidRDefault="00AE66FF">
      <w:pPr>
        <w:numPr>
          <w:ilvl w:val="0"/>
          <w:numId w:val="31"/>
        </w:numPr>
        <w:jc w:val="both"/>
      </w:pPr>
      <w:r>
        <w:rPr>
          <w:b/>
          <w:lang w:val="fr-FR"/>
        </w:rPr>
        <w:t>Suivi de la phase d’incubation</w:t>
      </w:r>
    </w:p>
    <w:p w14:paraId="3A5A77C1" w14:textId="77777777" w:rsidR="00060E28" w:rsidRDefault="00060E28">
      <w:pPr>
        <w:jc w:val="both"/>
      </w:pPr>
    </w:p>
    <w:p w14:paraId="3BB10AD8" w14:textId="77777777" w:rsidR="00060E28" w:rsidRDefault="00AE66FF">
      <w:pPr>
        <w:jc w:val="both"/>
      </w:pPr>
      <w:r>
        <w:rPr>
          <w:b/>
          <w:lang w:val="fr-FR"/>
        </w:rPr>
        <w:t>Durant une première période, les agents agressifs (principalement les chlorures dans le cas présent) pénètrent dans l’enrobage des armatures. Durant cette période, la structure ne présente aucun signe de dégradation extérieure. Cette période est appelée phase d’incubation. Elle peut durer plusieurs dizaines d’années en fonction de l’agressivité du milieu extérieur, de l’épaisseur et de la qualité du béton d’enrobage. L’instrumentation de l’ouvrage devra permettre de suivre la pénétration progressive des chlorures dans le temps et dans l’enrobage et d’alerter lorsqu’un seuil est atteint.</w:t>
      </w:r>
    </w:p>
    <w:p w14:paraId="11F9D13F" w14:textId="77777777" w:rsidR="00060E28" w:rsidRDefault="00060E28">
      <w:pPr>
        <w:jc w:val="both"/>
      </w:pPr>
    </w:p>
    <w:p w14:paraId="37DD0A05" w14:textId="77777777" w:rsidR="00060E28" w:rsidRDefault="00AE66FF">
      <w:pPr>
        <w:numPr>
          <w:ilvl w:val="0"/>
          <w:numId w:val="31"/>
        </w:numPr>
        <w:jc w:val="both"/>
      </w:pPr>
      <w:r>
        <w:rPr>
          <w:b/>
          <w:lang w:val="fr-FR"/>
        </w:rPr>
        <w:t>Suivi de la phase de propagation</w:t>
      </w:r>
    </w:p>
    <w:p w14:paraId="35D63B22" w14:textId="77777777" w:rsidR="00060E28" w:rsidRDefault="00060E28">
      <w:pPr>
        <w:jc w:val="both"/>
      </w:pPr>
    </w:p>
    <w:p w14:paraId="76A74E9B" w14:textId="77777777" w:rsidR="00060E28" w:rsidRDefault="00AE66FF">
      <w:pPr>
        <w:jc w:val="both"/>
      </w:pPr>
      <w:r>
        <w:rPr>
          <w:b/>
          <w:lang w:val="fr-FR"/>
        </w:rPr>
        <w:t>Lorsque les agents agressifs (principalement les chlorures dans le cas présent) sont en quantité suffisante dans le béton et que les conditions d’humidité et de teneur en oxygène sont réunies dans le béton au contact des armatures, la corrosion s’engage. On parle d’initiation ou d’amorçage de la corrosion. On entre alors dans la phase de propagation de la corrosion. À partir de cet instant, la corrosion se développe : formation progressive de produits de corrosion dans un premier temps puis fissuration du béton d’enrobage et éclatement du béton dans un second temps. Cette phase s’accompagne en parallèle d’une perte progressive des sections d’armatures et d’adhérence avec le béton. La phase de propagation donne lieu à terme à une réduction de l’aptitude au service des ouvrages. L’instrumentation de l’ouvrage devra permettre de suivre la phase de propagation du phénomène de corrosion. Elle n’a pas vocation à suivre les paramètres structurels telles que les contraintes/déformations dans les sections de béton armé (type Navier).</w:t>
      </w:r>
    </w:p>
    <w:p w14:paraId="0B7F868D" w14:textId="77777777" w:rsidR="00060E28" w:rsidRDefault="00060E28">
      <w:pPr>
        <w:jc w:val="both"/>
      </w:pPr>
    </w:p>
    <w:p w14:paraId="3659749D" w14:textId="77777777" w:rsidR="00060E28" w:rsidRDefault="00AE66FF" w:rsidP="000A499E">
      <w:pPr>
        <w:pStyle w:val="Style1"/>
        <w:numPr>
          <w:ilvl w:val="1"/>
          <w:numId w:val="8"/>
        </w:numPr>
        <w:outlineLvl w:val="0"/>
      </w:pPr>
      <w:bookmarkStart w:id="26" w:name="__RefHeading___Toc13947_3040839714"/>
      <w:bookmarkStart w:id="27" w:name="_Toc6"/>
      <w:bookmarkStart w:id="28" w:name="_Toc97630285"/>
      <w:bookmarkStart w:id="29" w:name="_Toc97665330"/>
      <w:bookmarkStart w:id="30" w:name="_Toc100582407"/>
      <w:r>
        <w:t>Éligibilité des partenaires</w:t>
      </w:r>
      <w:bookmarkEnd w:id="26"/>
      <w:bookmarkEnd w:id="27"/>
      <w:bookmarkEnd w:id="28"/>
      <w:bookmarkEnd w:id="29"/>
      <w:bookmarkEnd w:id="30"/>
    </w:p>
    <w:p w14:paraId="20DB7704" w14:textId="77777777" w:rsidR="00060E28" w:rsidRDefault="00060E28"/>
    <w:p w14:paraId="1E718EF9" w14:textId="77777777" w:rsidR="00060E28" w:rsidRDefault="00AE66FF">
      <w:pPr>
        <w:jc w:val="both"/>
      </w:pPr>
      <w:r>
        <w:rPr>
          <w:lang w:val="fr-FR"/>
        </w:rPr>
        <w:t>Toute entité signataire de l’accord de consortium est partenaire du projet. Les conditions d’éligibilité des projets sont :</w:t>
      </w:r>
    </w:p>
    <w:p w14:paraId="0586BAFB" w14:textId="77777777" w:rsidR="00060E28" w:rsidRDefault="00060E28">
      <w:pPr>
        <w:jc w:val="both"/>
      </w:pPr>
    </w:p>
    <w:p w14:paraId="1CBFDE77" w14:textId="77777777" w:rsidR="00060E28" w:rsidRDefault="00AE66FF">
      <w:pPr>
        <w:numPr>
          <w:ilvl w:val="0"/>
          <w:numId w:val="32"/>
        </w:numPr>
        <w:jc w:val="both"/>
      </w:pPr>
      <w:r>
        <w:rPr>
          <w:lang w:val="fr-FR"/>
        </w:rPr>
        <w:t>Le porteur du projet désigne soit le coordinateur du projet dans le cas d’un consortium, soit le porteur dans le cas d’un projet mono partenaire. Il peut être une entreprise, un laboratoire de recherche publique, un institut de recherche, une université ou une structure de valorisation de la recherche implantés sur le territoire national, et être bénéficiaire de financement dans le cadre du projet,</w:t>
      </w:r>
    </w:p>
    <w:p w14:paraId="07C64650" w14:textId="77777777" w:rsidR="00060E28" w:rsidRDefault="00AE66FF">
      <w:pPr>
        <w:numPr>
          <w:ilvl w:val="0"/>
          <w:numId w:val="32"/>
        </w:numPr>
        <w:jc w:val="both"/>
      </w:pPr>
      <w:r>
        <w:rPr>
          <w:lang w:val="fr-FR"/>
        </w:rPr>
        <w:t>Les partenaires du projet sollicitant un financement public doivent être domiciliés sur le territoire national (déclarés au registre du commerce ou détenteur d’un numéro SIRET),</w:t>
      </w:r>
    </w:p>
    <w:p w14:paraId="5C841EB0" w14:textId="77777777" w:rsidR="00060E28" w:rsidRDefault="00AE66FF">
      <w:pPr>
        <w:numPr>
          <w:ilvl w:val="0"/>
          <w:numId w:val="32"/>
        </w:numPr>
        <w:jc w:val="both"/>
      </w:pPr>
      <w:r>
        <w:rPr>
          <w:lang w:val="fr-FR"/>
        </w:rPr>
        <w:t>Les entreprises, les laboratoires de recherche publique, instituts de recherche, universités et structures de valorisation de la recherche implantés sur le territoire national peuvent être partenaires d’un consortium,</w:t>
      </w:r>
    </w:p>
    <w:p w14:paraId="539A258C" w14:textId="77777777" w:rsidR="00060E28" w:rsidRDefault="00AE66FF">
      <w:pPr>
        <w:numPr>
          <w:ilvl w:val="0"/>
          <w:numId w:val="32"/>
        </w:numPr>
        <w:jc w:val="both"/>
      </w:pPr>
      <w:r>
        <w:rPr>
          <w:lang w:val="fr-FR"/>
        </w:rPr>
        <w:t>Chaque partenaire d’un consortium sollicitant un financement public doit assumer un budget représentant au moins 10 % du budget total du projet dans le cas d’un consortium privé, soit au moins 20 % dans le cas d’un consortium public.</w:t>
      </w:r>
    </w:p>
    <w:p w14:paraId="5B9F3D01" w14:textId="77777777" w:rsidR="00060E28" w:rsidRDefault="00AE66FF">
      <w:pPr>
        <w:numPr>
          <w:ilvl w:val="0"/>
          <w:numId w:val="32"/>
        </w:numPr>
        <w:jc w:val="both"/>
      </w:pPr>
      <w:r>
        <w:rPr>
          <w:lang w:val="fr-FR"/>
        </w:rPr>
        <w:t>Les partenaires bénéficiaires d’un financement doivent présenter une situation financière saine, être à jour de leurs obligations fiscales et sociales, ne pas être considérés comme entreprises en difficulté au sens de la réglementation européenne,</w:t>
      </w:r>
    </w:p>
    <w:p w14:paraId="06F444B4" w14:textId="77777777" w:rsidR="00060E28" w:rsidRDefault="00AE66FF">
      <w:pPr>
        <w:numPr>
          <w:ilvl w:val="0"/>
          <w:numId w:val="32"/>
        </w:numPr>
        <w:jc w:val="both"/>
      </w:pPr>
      <w:r>
        <w:rPr>
          <w:lang w:val="fr-FR"/>
        </w:rPr>
        <w:t xml:space="preserve">Pour chaque entreprise partenaire, le montant total de l’aide ne peut excéder le montant des fonds propres à la date du versement. Les comptes certifiés de moins de quinze mois à la date de versement ou, à défaut, un arrêté comptable de moins de trois mois certifié par un commissaire aux comptes ou, à défaut, par un </w:t>
      </w:r>
      <w:proofErr w:type="spellStart"/>
      <w:r>
        <w:rPr>
          <w:lang w:val="fr-FR"/>
        </w:rPr>
        <w:t>expert comptable</w:t>
      </w:r>
      <w:proofErr w:type="spellEnd"/>
      <w:r>
        <w:rPr>
          <w:lang w:val="fr-FR"/>
        </w:rPr>
        <w:t>, seront demandés préalablement à ce versement qui pourra être effectué sous réserve d’une analyse complémentaire réalisée par la Région Bretagne,</w:t>
      </w:r>
    </w:p>
    <w:p w14:paraId="63FC7219" w14:textId="77777777" w:rsidR="00060E28" w:rsidRDefault="00AE66FF">
      <w:pPr>
        <w:numPr>
          <w:ilvl w:val="0"/>
          <w:numId w:val="32"/>
        </w:numPr>
        <w:jc w:val="both"/>
      </w:pPr>
      <w:r>
        <w:rPr>
          <w:lang w:val="fr-FR"/>
        </w:rPr>
        <w:t xml:space="preserve">Les porteurs de projet doivent présenter un plan de financement équilibré sur la durée du projet, des </w:t>
      </w:r>
      <w:r>
        <w:rPr>
          <w:lang w:val="fr-FR"/>
        </w:rPr>
        <w:lastRenderedPageBreak/>
        <w:t>moyens humains et matériels en cohérence avec l’importance des travaux et expliciter la nature et l’origine publique ou privée des financements prévus.</w:t>
      </w:r>
    </w:p>
    <w:p w14:paraId="66B21893" w14:textId="77777777" w:rsidR="00060E28" w:rsidRDefault="00AE66FF">
      <w:pPr>
        <w:numPr>
          <w:ilvl w:val="0"/>
          <w:numId w:val="32"/>
        </w:numPr>
        <w:jc w:val="both"/>
      </w:pPr>
      <w:r>
        <w:rPr>
          <w:lang w:val="fr-FR"/>
        </w:rPr>
        <w:t>Pour les futurs versements, soit les membres du consortium ont créé une entité juridique et perçoivent la subvention d’un seul tenant pour redistribution entre eux, soit la structure juridique n’est pas prévue et dans ce cas chaque membre du consortium (informel) reçoit sa part de subvention.</w:t>
      </w:r>
    </w:p>
    <w:p w14:paraId="5965A408" w14:textId="77777777" w:rsidR="00060E28" w:rsidRDefault="00060E28">
      <w:pPr>
        <w:jc w:val="both"/>
      </w:pPr>
    </w:p>
    <w:p w14:paraId="2B529E93" w14:textId="77777777" w:rsidR="00060E28" w:rsidRDefault="00AE66FF">
      <w:pPr>
        <w:jc w:val="both"/>
      </w:pPr>
      <w:r>
        <w:rPr>
          <w:lang w:val="fr-FR"/>
        </w:rPr>
        <w:t>En outre, il est demandé qu’un consortium n’excède pas trois partenaires formulant une demande d’aide à cet appel à projet.</w:t>
      </w:r>
    </w:p>
    <w:p w14:paraId="1B9A34D0" w14:textId="77777777" w:rsidR="00060E28" w:rsidRDefault="00060E28">
      <w:pPr>
        <w:jc w:val="both"/>
      </w:pPr>
    </w:p>
    <w:p w14:paraId="05E8C703" w14:textId="77777777" w:rsidR="00060E28" w:rsidRDefault="00AE66FF">
      <w:pPr>
        <w:jc w:val="both"/>
      </w:pPr>
      <w:r>
        <w:rPr>
          <w:lang w:val="fr-FR"/>
        </w:rPr>
        <w:t>En cas de partenariat, celui-ci sera formalisé par le biais d’un accord de consortium. Le porteur du projet assure le suivi de l’exécution opérationnelle et financière du projet. Un projet d’accord de consortium portant sur les principes liés à la réalisation du projet, et notamment sur les règles applicables en matière de propriété intellectuelle et d’exploitation des résultats, est fourni lors du dépôt du projet. En cas de partenariat, l’accord de consortium signé conditionne le premier versement des aides. Il est annexé à la convention de financement.</w:t>
      </w:r>
    </w:p>
    <w:p w14:paraId="4E278173" w14:textId="77777777" w:rsidR="00060E28" w:rsidRDefault="00060E28"/>
    <w:p w14:paraId="5C9DFDEE" w14:textId="77777777" w:rsidR="00060E28" w:rsidRDefault="00AE66FF">
      <w:r>
        <w:rPr>
          <w:lang w:val="fr-FR"/>
        </w:rPr>
        <w:t>Une même organisation ou entité juridique ne pourra participer à plus d’un projet.</w:t>
      </w:r>
    </w:p>
    <w:p w14:paraId="3423758B" w14:textId="77777777" w:rsidR="00060E28" w:rsidRDefault="00060E28"/>
    <w:p w14:paraId="4F61266B" w14:textId="77777777" w:rsidR="00060E28" w:rsidRDefault="00060E28"/>
    <w:p w14:paraId="5D0BB74D" w14:textId="77777777" w:rsidR="00060E28" w:rsidRDefault="00AE66FF" w:rsidP="000A499E">
      <w:pPr>
        <w:pStyle w:val="Style1"/>
        <w:numPr>
          <w:ilvl w:val="1"/>
          <w:numId w:val="8"/>
        </w:numPr>
        <w:outlineLvl w:val="0"/>
      </w:pPr>
      <w:bookmarkStart w:id="31" w:name="__RefHeading___Toc13957_3040839714"/>
      <w:bookmarkStart w:id="32" w:name="_Toc7"/>
      <w:bookmarkStart w:id="33" w:name="_Toc97630286"/>
      <w:bookmarkStart w:id="34" w:name="_Toc97665331"/>
      <w:bookmarkStart w:id="35" w:name="_Toc100582408"/>
      <w:r>
        <w:t>Déroulement de l’appel à projets</w:t>
      </w:r>
      <w:bookmarkEnd w:id="31"/>
      <w:bookmarkEnd w:id="32"/>
      <w:bookmarkEnd w:id="33"/>
      <w:bookmarkEnd w:id="34"/>
      <w:bookmarkEnd w:id="35"/>
    </w:p>
    <w:p w14:paraId="2583FC69" w14:textId="77777777" w:rsidR="00060E28" w:rsidRDefault="00060E28"/>
    <w:p w14:paraId="53771026" w14:textId="77777777" w:rsidR="00060E28" w:rsidRDefault="00AE66FF" w:rsidP="000A499E">
      <w:pPr>
        <w:pStyle w:val="Style2"/>
        <w:numPr>
          <w:ilvl w:val="1"/>
          <w:numId w:val="60"/>
        </w:numPr>
      </w:pPr>
      <w:bookmarkStart w:id="36" w:name="__RefHeading___Toc13959_3040839714"/>
      <w:bookmarkStart w:id="37" w:name="_Toc8"/>
      <w:bookmarkStart w:id="38" w:name="_Toc97630287"/>
      <w:bookmarkStart w:id="39" w:name="_Toc97665332"/>
      <w:bookmarkStart w:id="40" w:name="_Toc100582409"/>
      <w:r>
        <w:rPr>
          <w:lang w:val="fr-FR"/>
        </w:rPr>
        <w:t>Éligibilité du projet</w:t>
      </w:r>
      <w:bookmarkEnd w:id="36"/>
      <w:bookmarkEnd w:id="37"/>
      <w:bookmarkEnd w:id="38"/>
      <w:bookmarkEnd w:id="39"/>
      <w:bookmarkEnd w:id="40"/>
    </w:p>
    <w:p w14:paraId="19B37100" w14:textId="77777777" w:rsidR="00060E28" w:rsidRDefault="00060E28"/>
    <w:p w14:paraId="1402D5C2" w14:textId="77777777" w:rsidR="00060E28" w:rsidRDefault="00AE66FF">
      <w:r>
        <w:rPr>
          <w:lang w:val="fr-FR"/>
        </w:rPr>
        <w:t>Un jury évaluera et sélectionnera les projets sur la base d’un dossier dont le contenu est défini dans le dossier de candidature.</w:t>
      </w:r>
    </w:p>
    <w:p w14:paraId="4BCF3543" w14:textId="77777777" w:rsidR="00060E28" w:rsidRDefault="00060E28"/>
    <w:p w14:paraId="673B379C" w14:textId="77777777" w:rsidR="00060E28" w:rsidRDefault="00AE66FF">
      <w:r>
        <w:rPr>
          <w:lang w:val="fr-FR"/>
        </w:rPr>
        <w:t>Pour être éligible, le projet déposé à cet appel à projet doit satisfaire aux critères suivants :</w:t>
      </w:r>
    </w:p>
    <w:p w14:paraId="65D14791" w14:textId="77777777" w:rsidR="00060E28" w:rsidRDefault="00060E28"/>
    <w:p w14:paraId="28B37519" w14:textId="77777777" w:rsidR="00060E28" w:rsidRDefault="00AE66FF">
      <w:pPr>
        <w:numPr>
          <w:ilvl w:val="0"/>
          <w:numId w:val="33"/>
        </w:numPr>
      </w:pPr>
      <w:r>
        <w:rPr>
          <w:lang w:val="fr-FR"/>
        </w:rPr>
        <w:t>Les travaux antécédents sur lesquels se fonde le projet déposé est d’un niveau de maturité (</w:t>
      </w:r>
      <w:proofErr w:type="spellStart"/>
      <w:r>
        <w:rPr>
          <w:lang w:val="fr-FR"/>
        </w:rPr>
        <w:t>Technological</w:t>
      </w:r>
      <w:proofErr w:type="spellEnd"/>
      <w:r>
        <w:rPr>
          <w:lang w:val="fr-FR"/>
        </w:rPr>
        <w:t xml:space="preserve"> </w:t>
      </w:r>
      <w:proofErr w:type="spellStart"/>
      <w:r>
        <w:rPr>
          <w:lang w:val="fr-FR"/>
        </w:rPr>
        <w:t>Readiness</w:t>
      </w:r>
      <w:proofErr w:type="spellEnd"/>
      <w:r>
        <w:rPr>
          <w:lang w:val="fr-FR"/>
        </w:rPr>
        <w:t xml:space="preserve"> </w:t>
      </w:r>
      <w:proofErr w:type="spellStart"/>
      <w:r>
        <w:rPr>
          <w:lang w:val="fr-FR"/>
        </w:rPr>
        <w:t>Level</w:t>
      </w:r>
      <w:proofErr w:type="spellEnd"/>
      <w:r>
        <w:rPr>
          <w:lang w:val="fr-FR"/>
        </w:rPr>
        <w:t>) compris entre 5 et 9 (cf. annexe 2 échelle de niveau de maturité TRL),</w:t>
      </w:r>
    </w:p>
    <w:p w14:paraId="079FF762" w14:textId="77777777" w:rsidR="00060E28" w:rsidRDefault="00AE66FF">
      <w:pPr>
        <w:numPr>
          <w:ilvl w:val="0"/>
          <w:numId w:val="33"/>
        </w:numPr>
      </w:pPr>
      <w:r>
        <w:rPr>
          <w:lang w:val="fr-FR"/>
        </w:rPr>
        <w:t>Les dépenses du projet déposé incluent des activités d’un TRL de niveau 7 au moins,</w:t>
      </w:r>
    </w:p>
    <w:p w14:paraId="1EE22007" w14:textId="77777777" w:rsidR="00060E28" w:rsidRDefault="00AE66FF">
      <w:pPr>
        <w:numPr>
          <w:ilvl w:val="0"/>
          <w:numId w:val="33"/>
        </w:numPr>
      </w:pPr>
      <w:r>
        <w:rPr>
          <w:lang w:val="fr-FR"/>
        </w:rPr>
        <w:t>L’un des objectifs finaux du projet est de démontrer la capacité du système développé à être commercialisé,</w:t>
      </w:r>
    </w:p>
    <w:p w14:paraId="63F37393" w14:textId="77777777" w:rsidR="00060E28" w:rsidRDefault="00AE66FF">
      <w:pPr>
        <w:numPr>
          <w:ilvl w:val="0"/>
          <w:numId w:val="33"/>
        </w:numPr>
        <w:jc w:val="both"/>
      </w:pPr>
      <w:r>
        <w:rPr>
          <w:lang w:val="fr-FR"/>
        </w:rPr>
        <w:t>Les projets de déploiement commercial de ces solutions ne sont pas éligibles,</w:t>
      </w:r>
    </w:p>
    <w:p w14:paraId="0DA5AFBD" w14:textId="77777777" w:rsidR="00060E28" w:rsidRDefault="00AE66FF">
      <w:pPr>
        <w:numPr>
          <w:ilvl w:val="0"/>
          <w:numId w:val="33"/>
        </w:numPr>
        <w:jc w:val="both"/>
      </w:pPr>
      <w:r>
        <w:rPr>
          <w:lang w:val="fr-FR"/>
        </w:rPr>
        <w:t>La durée du projet ne devra pas excéder 40 mois.</w:t>
      </w:r>
    </w:p>
    <w:p w14:paraId="28539744" w14:textId="77777777" w:rsidR="00060E28" w:rsidRDefault="00060E28"/>
    <w:p w14:paraId="29DEC89F" w14:textId="77777777" w:rsidR="00060E28" w:rsidRDefault="00AE66FF" w:rsidP="000A499E">
      <w:pPr>
        <w:pStyle w:val="Style2"/>
        <w:numPr>
          <w:ilvl w:val="1"/>
          <w:numId w:val="60"/>
        </w:numPr>
      </w:pPr>
      <w:bookmarkStart w:id="41" w:name="__RefHeading___Toc13961_3040839714"/>
      <w:bookmarkStart w:id="42" w:name="_Toc9"/>
      <w:bookmarkStart w:id="43" w:name="_Toc97630288"/>
      <w:bookmarkStart w:id="44" w:name="_Toc97665333"/>
      <w:bookmarkStart w:id="45" w:name="_Toc100582410"/>
      <w:r>
        <w:rPr>
          <w:lang w:val="fr-FR"/>
        </w:rPr>
        <w:t>Financement</w:t>
      </w:r>
      <w:bookmarkEnd w:id="41"/>
      <w:bookmarkEnd w:id="42"/>
      <w:bookmarkEnd w:id="43"/>
      <w:bookmarkEnd w:id="44"/>
      <w:bookmarkEnd w:id="45"/>
    </w:p>
    <w:p w14:paraId="62C34916" w14:textId="77777777" w:rsidR="00060E28" w:rsidRDefault="00060E28"/>
    <w:p w14:paraId="78D7BC36" w14:textId="77777777" w:rsidR="00060E28" w:rsidRDefault="00AE66FF">
      <w:pPr>
        <w:jc w:val="both"/>
      </w:pPr>
      <w:r>
        <w:rPr>
          <w:lang w:val="fr-FR"/>
        </w:rPr>
        <w:t>L’enveloppe allouée à cet appel à projets est de 300 000 € TTC. L’aide maximale allouée à un projet ne pourra pas dépasser 150 000 € TTC.</w:t>
      </w:r>
    </w:p>
    <w:p w14:paraId="075C610D" w14:textId="77777777" w:rsidR="00060E28" w:rsidRDefault="00060E28"/>
    <w:p w14:paraId="7E03E5E4" w14:textId="77777777" w:rsidR="00060E28" w:rsidRDefault="00AE66FF">
      <w:pPr>
        <w:pStyle w:val="Titre3"/>
      </w:pPr>
      <w:bookmarkStart w:id="46" w:name="__RefHeading___Toc13963_3040839714"/>
      <w:bookmarkStart w:id="47" w:name="_Toc10"/>
      <w:bookmarkStart w:id="48" w:name="_Toc97630289"/>
      <w:bookmarkStart w:id="49" w:name="_Toc97665334"/>
      <w:bookmarkStart w:id="50" w:name="_Toc100582411"/>
      <w:r>
        <w:rPr>
          <w:lang w:val="fr-FR"/>
        </w:rPr>
        <w:t>5.2.</w:t>
      </w:r>
      <w:proofErr w:type="gramStart"/>
      <w:r>
        <w:rPr>
          <w:lang w:val="fr-FR"/>
        </w:rPr>
        <w:t>1.Coûts</w:t>
      </w:r>
      <w:proofErr w:type="gramEnd"/>
      <w:r>
        <w:rPr>
          <w:lang w:val="fr-FR"/>
        </w:rPr>
        <w:t xml:space="preserve"> éligibles et retenus</w:t>
      </w:r>
      <w:bookmarkEnd w:id="46"/>
      <w:bookmarkEnd w:id="47"/>
      <w:bookmarkEnd w:id="48"/>
      <w:bookmarkEnd w:id="49"/>
      <w:bookmarkEnd w:id="50"/>
    </w:p>
    <w:p w14:paraId="7697688A" w14:textId="77777777" w:rsidR="00060E28" w:rsidRDefault="00060E28"/>
    <w:p w14:paraId="29927B22" w14:textId="77777777" w:rsidR="00060E28" w:rsidRDefault="00AE66FF">
      <w:pPr>
        <w:jc w:val="both"/>
      </w:pPr>
      <w:r>
        <w:rPr>
          <w:lang w:val="fr-FR"/>
        </w:rPr>
        <w:t>Les dépenses ne peuvent être prises en compte qu’à compter de la date de notification de la convention signée entre le consortium et la Région Bretagne (voir article 5.3). Les dépenses engagées avant la notification des conventions d’aide par la Région Bretagne restent à la charge des bénéficiaires.</w:t>
      </w:r>
    </w:p>
    <w:p w14:paraId="738A8AB6" w14:textId="77777777" w:rsidR="00060E28" w:rsidRDefault="00060E28"/>
    <w:p w14:paraId="24F84D46" w14:textId="77777777" w:rsidR="00060E28" w:rsidRDefault="00AE66FF">
      <w:r>
        <w:rPr>
          <w:lang w:val="fr-FR"/>
        </w:rPr>
        <w:t>Les coûts éligibles peuvent couvrir :</w:t>
      </w:r>
    </w:p>
    <w:p w14:paraId="64B9324C" w14:textId="77777777" w:rsidR="00060E28" w:rsidRDefault="00060E28"/>
    <w:p w14:paraId="2FCB6C78" w14:textId="77777777" w:rsidR="00060E28" w:rsidRDefault="00AE66FF">
      <w:pPr>
        <w:numPr>
          <w:ilvl w:val="0"/>
          <w:numId w:val="34"/>
        </w:numPr>
      </w:pPr>
      <w:r>
        <w:rPr>
          <w:lang w:val="fr-FR"/>
        </w:rPr>
        <w:t xml:space="preserve">Des achats, des </w:t>
      </w:r>
      <w:proofErr w:type="spellStart"/>
      <w:r w:rsidRPr="00AE66FF">
        <w:t>amortissements</w:t>
      </w:r>
      <w:proofErr w:type="spellEnd"/>
      <w:r>
        <w:rPr>
          <w:lang w:val="fr-FR"/>
        </w:rPr>
        <w:t xml:space="preserve"> et développement de matériels strictement liés au projet,</w:t>
      </w:r>
    </w:p>
    <w:p w14:paraId="2A0D0FC9" w14:textId="77777777" w:rsidR="00060E28" w:rsidRDefault="00AE66FF">
      <w:pPr>
        <w:numPr>
          <w:ilvl w:val="0"/>
          <w:numId w:val="34"/>
        </w:numPr>
      </w:pPr>
      <w:r>
        <w:rPr>
          <w:lang w:val="fr-FR"/>
        </w:rPr>
        <w:t>Des essais en laboratoire ou sur sites,</w:t>
      </w:r>
    </w:p>
    <w:p w14:paraId="522363D7" w14:textId="77777777" w:rsidR="00060E28" w:rsidRDefault="00AE66FF">
      <w:pPr>
        <w:numPr>
          <w:ilvl w:val="0"/>
          <w:numId w:val="34"/>
        </w:numPr>
      </w:pPr>
      <w:r>
        <w:rPr>
          <w:lang w:val="fr-FR"/>
        </w:rPr>
        <w:t xml:space="preserve">Les dépenses de personnels (à l’exclusion des personnels permanents pour les organismes publics et les collectivités territoriales), sous réserve d’être en capacité d’en détailler et justifier le montant (nb heure * coût horaire), </w:t>
      </w:r>
    </w:p>
    <w:p w14:paraId="32BA166F" w14:textId="77777777" w:rsidR="00060E28" w:rsidRDefault="00AE66FF">
      <w:pPr>
        <w:numPr>
          <w:ilvl w:val="0"/>
          <w:numId w:val="34"/>
        </w:numPr>
      </w:pPr>
      <w:r>
        <w:rPr>
          <w:lang w:val="fr-FR"/>
        </w:rPr>
        <w:t xml:space="preserve">Les déplacements ou missions directement liés à l’exécution du projet, en justifiant ces dépenses, </w:t>
      </w:r>
    </w:p>
    <w:p w14:paraId="27FB664F" w14:textId="77777777" w:rsidR="00060E28" w:rsidRDefault="00AE66FF">
      <w:pPr>
        <w:numPr>
          <w:ilvl w:val="0"/>
          <w:numId w:val="34"/>
        </w:numPr>
      </w:pPr>
      <w:r>
        <w:rPr>
          <w:lang w:val="fr-FR"/>
        </w:rPr>
        <w:t>Autres,</w:t>
      </w:r>
    </w:p>
    <w:p w14:paraId="7290B133" w14:textId="77777777" w:rsidR="00060E28" w:rsidRDefault="00AE66FF">
      <w:pPr>
        <w:numPr>
          <w:ilvl w:val="0"/>
          <w:numId w:val="34"/>
        </w:numPr>
      </w:pPr>
      <w:r>
        <w:rPr>
          <w:lang w:val="fr-FR"/>
        </w:rPr>
        <w:t>Frais annexes.</w:t>
      </w:r>
    </w:p>
    <w:p w14:paraId="33EADCD3" w14:textId="77777777" w:rsidR="00060E28" w:rsidRDefault="00060E28"/>
    <w:p w14:paraId="542668B0" w14:textId="77777777" w:rsidR="00060E28" w:rsidRDefault="00AE66FF">
      <w:pPr>
        <w:jc w:val="both"/>
      </w:pPr>
      <w:r>
        <w:rPr>
          <w:lang w:val="fr-FR"/>
        </w:rPr>
        <w:t xml:space="preserve">L’ensemble des coûts relatif au projet doit être détaillé dans le dossier de demande d’aide. Dans le cadre de </w:t>
      </w:r>
      <w:r>
        <w:rPr>
          <w:lang w:val="fr-FR"/>
        </w:rPr>
        <w:lastRenderedPageBreak/>
        <w:t>l’instruction du projet, la Région Bretagne vérifie les coûts et la classification des dépenses selon leur nature Recherche industrielle (RI) ou Développement expérimental (DE), d’après les coûts et classifications proposés par le consortium.</w:t>
      </w:r>
    </w:p>
    <w:p w14:paraId="608B0034" w14:textId="77777777" w:rsidR="00060E28" w:rsidRDefault="00060E28"/>
    <w:p w14:paraId="4F93A3AE" w14:textId="77777777" w:rsidR="00060E28" w:rsidRDefault="00AE66FF">
      <w:pPr>
        <w:jc w:val="both"/>
      </w:pPr>
      <w:r>
        <w:rPr>
          <w:lang w:val="fr-FR"/>
        </w:rPr>
        <w:t>Les frais annexes sont les dépenses qui concourent à la réalisation du projet sans toutefois pouvoir être directement attribuées à celui-ci. Le montant forfaitaire de ces dépenses est plafonné à 20 % des coûts de personnel permanent pour les organismes privés, et des coûts totaux éligibles pour les organismes publics.</w:t>
      </w:r>
    </w:p>
    <w:p w14:paraId="6DFB2D6A" w14:textId="77777777" w:rsidR="00060E28" w:rsidRDefault="00060E28">
      <w:pPr>
        <w:jc w:val="both"/>
      </w:pPr>
    </w:p>
    <w:p w14:paraId="580A283A" w14:textId="77777777" w:rsidR="00060E28" w:rsidRDefault="00AE66FF">
      <w:pPr>
        <w:jc w:val="both"/>
      </w:pPr>
      <w:r>
        <w:rPr>
          <w:lang w:val="fr-FR"/>
        </w:rPr>
        <w:t>Les dépenses déjà soutenues par un autre financement public ne sont pas éligibles à l’assiette des travaux dans le cadre de cet appel.</w:t>
      </w:r>
    </w:p>
    <w:p w14:paraId="18B6287E" w14:textId="77777777" w:rsidR="00060E28" w:rsidRDefault="00060E28"/>
    <w:p w14:paraId="1F3C2113" w14:textId="77777777" w:rsidR="00060E28" w:rsidRDefault="00AE66FF">
      <w:pPr>
        <w:pStyle w:val="Titre3"/>
      </w:pPr>
      <w:bookmarkStart w:id="51" w:name="__RefHeading___Toc13965_3040839714"/>
      <w:bookmarkStart w:id="52" w:name="_Toc11"/>
      <w:bookmarkStart w:id="53" w:name="_Toc97630290"/>
      <w:bookmarkStart w:id="54" w:name="_Toc97665335"/>
      <w:bookmarkStart w:id="55" w:name="_Toc100582412"/>
      <w:r>
        <w:rPr>
          <w:lang w:val="fr-FR"/>
        </w:rPr>
        <w:t>5.2.</w:t>
      </w:r>
      <w:proofErr w:type="gramStart"/>
      <w:r>
        <w:rPr>
          <w:lang w:val="fr-FR"/>
        </w:rPr>
        <w:t>2.Taux</w:t>
      </w:r>
      <w:proofErr w:type="gramEnd"/>
      <w:r>
        <w:rPr>
          <w:lang w:val="fr-FR"/>
        </w:rPr>
        <w:t xml:space="preserve"> d’aide</w:t>
      </w:r>
      <w:bookmarkEnd w:id="51"/>
      <w:bookmarkEnd w:id="52"/>
      <w:bookmarkEnd w:id="53"/>
      <w:bookmarkEnd w:id="54"/>
      <w:bookmarkEnd w:id="55"/>
    </w:p>
    <w:p w14:paraId="60CD8B53" w14:textId="77777777" w:rsidR="00060E28" w:rsidRDefault="00060E28"/>
    <w:p w14:paraId="4866DC8C" w14:textId="77777777" w:rsidR="00060E28" w:rsidRDefault="00AE66FF">
      <w:pPr>
        <w:pStyle w:val="Paragraphedeliste"/>
        <w:numPr>
          <w:ilvl w:val="0"/>
          <w:numId w:val="35"/>
        </w:numPr>
      </w:pPr>
      <w:r>
        <w:rPr>
          <w:lang w:val="fr-FR"/>
        </w:rPr>
        <w:t>Cas des bénéficiaires privés du secteur concurrentiel</w:t>
      </w:r>
    </w:p>
    <w:p w14:paraId="2D27C831" w14:textId="77777777" w:rsidR="00060E28" w:rsidRDefault="00060E28"/>
    <w:p w14:paraId="6A37D7C4" w14:textId="77777777" w:rsidR="00060E28" w:rsidRDefault="00AE66FF">
      <w:pPr>
        <w:jc w:val="both"/>
      </w:pPr>
      <w:r>
        <w:rPr>
          <w:lang w:val="fr-FR"/>
        </w:rPr>
        <w:t>Le financement apporté par la Région Bretagne aux organismes privés se fait par des subventions. La somme des financements publics doit respecter le taux d’aide maximal fixé ci-après, sur la base de la classification des dépenses éligibles selon leur nature Recherche industrielle (RI) ou Développement expérimental (DE).</w:t>
      </w:r>
    </w:p>
    <w:p w14:paraId="7B5D5D7B" w14:textId="77777777" w:rsidR="00060E28" w:rsidRDefault="00060E28">
      <w:pPr>
        <w:jc w:val="both"/>
      </w:pPr>
    </w:p>
    <w:p w14:paraId="47D82B5F" w14:textId="77777777" w:rsidR="00060E28" w:rsidRDefault="00AE66FF">
      <w:pPr>
        <w:jc w:val="both"/>
      </w:pPr>
      <w:r>
        <w:rPr>
          <w:lang w:val="fr-FR"/>
        </w:rPr>
        <w:t>Pour cet appel à projets, les taux maximums de financement sont les suivants selon la Catégorie d’entreprise au sens communautaire pour les activités de Recherche Industrielle (RI) et de Développement Expérimental (DE) :</w:t>
      </w:r>
    </w:p>
    <w:p w14:paraId="4B04C6BC" w14:textId="77777777" w:rsidR="00060E28" w:rsidRDefault="00060E28"/>
    <w:tbl>
      <w:tblPr>
        <w:tblW w:w="10063" w:type="dxa"/>
        <w:tblLayout w:type="fixed"/>
        <w:tblCellMar>
          <w:left w:w="10" w:type="dxa"/>
          <w:right w:w="10" w:type="dxa"/>
        </w:tblCellMar>
        <w:tblLook w:val="04A0" w:firstRow="1" w:lastRow="0" w:firstColumn="1" w:lastColumn="0" w:noHBand="0" w:noVBand="1"/>
      </w:tblPr>
      <w:tblGrid>
        <w:gridCol w:w="3355"/>
        <w:gridCol w:w="3354"/>
        <w:gridCol w:w="3354"/>
      </w:tblGrid>
      <w:tr w:rsidR="00060E28" w14:paraId="0E26C0C9" w14:textId="77777777">
        <w:tc>
          <w:tcPr>
            <w:tcW w:w="335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148F15E" w14:textId="77777777" w:rsidR="00060E28" w:rsidRDefault="00AE66FF">
            <w:pPr>
              <w:pStyle w:val="TableContents"/>
            </w:pPr>
            <w:r>
              <w:rPr>
                <w:rFonts w:ascii="Arial" w:eastAsia="Arial" w:hAnsi="Arial" w:cs="Arial"/>
                <w:color w:val="484D7A"/>
                <w:sz w:val="20"/>
                <w:lang w:val="fr-FR"/>
              </w:rPr>
              <w:t>Taux de subvention</w:t>
            </w:r>
          </w:p>
        </w:tc>
        <w:tc>
          <w:tcPr>
            <w:tcW w:w="33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660592C" w14:textId="77777777" w:rsidR="00060E28" w:rsidRDefault="00AE66FF">
            <w:pPr>
              <w:pStyle w:val="TableContents"/>
              <w:jc w:val="center"/>
            </w:pPr>
            <w:r>
              <w:rPr>
                <w:rFonts w:ascii="Arial" w:eastAsia="Arial" w:hAnsi="Arial" w:cs="Arial"/>
                <w:color w:val="484D7A"/>
                <w:sz w:val="20"/>
                <w:lang w:val="fr-FR"/>
              </w:rPr>
              <w:t>RI</w:t>
            </w: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49C567" w14:textId="77777777" w:rsidR="00060E28" w:rsidRDefault="00AE66FF">
            <w:pPr>
              <w:pStyle w:val="TableContents"/>
              <w:jc w:val="center"/>
            </w:pPr>
            <w:r>
              <w:rPr>
                <w:rFonts w:ascii="Arial" w:eastAsia="Arial" w:hAnsi="Arial" w:cs="Arial"/>
                <w:color w:val="484D7A"/>
                <w:sz w:val="20"/>
                <w:lang w:val="fr-FR"/>
              </w:rPr>
              <w:t>DE</w:t>
            </w:r>
          </w:p>
        </w:tc>
      </w:tr>
      <w:tr w:rsidR="00060E28" w14:paraId="1B81E2FF" w14:textId="77777777">
        <w:tc>
          <w:tcPr>
            <w:tcW w:w="3355" w:type="dxa"/>
            <w:tcBorders>
              <w:left w:val="single" w:sz="4" w:space="0" w:color="000000"/>
              <w:bottom w:val="single" w:sz="4" w:space="0" w:color="000000"/>
            </w:tcBorders>
            <w:shd w:val="clear" w:color="auto" w:fill="auto"/>
            <w:tcMar>
              <w:top w:w="55" w:type="dxa"/>
              <w:left w:w="55" w:type="dxa"/>
              <w:bottom w:w="55" w:type="dxa"/>
              <w:right w:w="55" w:type="dxa"/>
            </w:tcMar>
          </w:tcPr>
          <w:p w14:paraId="7FBE939E" w14:textId="77777777" w:rsidR="00060E28" w:rsidRDefault="00AE66FF">
            <w:pPr>
              <w:pStyle w:val="TableContents"/>
            </w:pPr>
            <w:r>
              <w:rPr>
                <w:rFonts w:ascii="Arial" w:eastAsia="Arial" w:hAnsi="Arial" w:cs="Arial"/>
                <w:color w:val="484D7A"/>
                <w:sz w:val="20"/>
                <w:lang w:val="fr-FR"/>
              </w:rPr>
              <w:t>Grandes entreprises</w:t>
            </w:r>
          </w:p>
        </w:tc>
        <w:tc>
          <w:tcPr>
            <w:tcW w:w="3354" w:type="dxa"/>
            <w:tcBorders>
              <w:left w:val="single" w:sz="4" w:space="0" w:color="000000"/>
              <w:bottom w:val="single" w:sz="4" w:space="0" w:color="000000"/>
            </w:tcBorders>
            <w:shd w:val="clear" w:color="auto" w:fill="auto"/>
            <w:tcMar>
              <w:top w:w="55" w:type="dxa"/>
              <w:left w:w="55" w:type="dxa"/>
              <w:bottom w:w="55" w:type="dxa"/>
              <w:right w:w="55" w:type="dxa"/>
            </w:tcMar>
          </w:tcPr>
          <w:p w14:paraId="4D3201DE" w14:textId="77777777" w:rsidR="00060E28" w:rsidRDefault="00AE66FF">
            <w:pPr>
              <w:pStyle w:val="TableContents"/>
              <w:jc w:val="right"/>
            </w:pPr>
            <w:r>
              <w:rPr>
                <w:rFonts w:ascii="Arial" w:eastAsia="Arial" w:hAnsi="Arial" w:cs="Arial"/>
                <w:color w:val="484D7A"/>
                <w:sz w:val="20"/>
                <w:lang w:val="fr-FR"/>
              </w:rPr>
              <w:t>40,00 %</w:t>
            </w:r>
          </w:p>
        </w:tc>
        <w:tc>
          <w:tcPr>
            <w:tcW w:w="33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7E8A07" w14:textId="77777777" w:rsidR="00060E28" w:rsidRDefault="00AE66FF">
            <w:pPr>
              <w:pStyle w:val="TableContents"/>
              <w:jc w:val="right"/>
            </w:pPr>
            <w:r>
              <w:rPr>
                <w:rFonts w:ascii="Arial" w:eastAsia="Arial" w:hAnsi="Arial" w:cs="Arial"/>
                <w:color w:val="484D7A"/>
                <w:sz w:val="20"/>
                <w:lang w:val="fr-FR"/>
              </w:rPr>
              <w:t>30,00 %</w:t>
            </w:r>
          </w:p>
        </w:tc>
      </w:tr>
      <w:tr w:rsidR="00060E28" w14:paraId="6898C793" w14:textId="77777777">
        <w:tc>
          <w:tcPr>
            <w:tcW w:w="3355" w:type="dxa"/>
            <w:tcBorders>
              <w:left w:val="single" w:sz="4" w:space="0" w:color="000000"/>
              <w:bottom w:val="single" w:sz="4" w:space="0" w:color="000000"/>
            </w:tcBorders>
            <w:shd w:val="clear" w:color="auto" w:fill="auto"/>
            <w:tcMar>
              <w:top w:w="55" w:type="dxa"/>
              <w:left w:w="55" w:type="dxa"/>
              <w:bottom w:w="55" w:type="dxa"/>
              <w:right w:w="55" w:type="dxa"/>
            </w:tcMar>
          </w:tcPr>
          <w:p w14:paraId="60EE09CE" w14:textId="77777777" w:rsidR="00060E28" w:rsidRDefault="00AE66FF">
            <w:pPr>
              <w:pStyle w:val="TableContents"/>
            </w:pPr>
            <w:r>
              <w:rPr>
                <w:rFonts w:ascii="Arial" w:eastAsia="Arial" w:hAnsi="Arial" w:cs="Arial"/>
                <w:color w:val="484D7A"/>
                <w:sz w:val="20"/>
                <w:lang w:val="fr-FR"/>
              </w:rPr>
              <w:t>Moyennes entreprises</w:t>
            </w:r>
          </w:p>
        </w:tc>
        <w:tc>
          <w:tcPr>
            <w:tcW w:w="3354" w:type="dxa"/>
            <w:tcBorders>
              <w:left w:val="single" w:sz="4" w:space="0" w:color="000000"/>
              <w:bottom w:val="single" w:sz="4" w:space="0" w:color="000000"/>
            </w:tcBorders>
            <w:shd w:val="clear" w:color="auto" w:fill="auto"/>
            <w:tcMar>
              <w:top w:w="55" w:type="dxa"/>
              <w:left w:w="55" w:type="dxa"/>
              <w:bottom w:w="55" w:type="dxa"/>
              <w:right w:w="55" w:type="dxa"/>
            </w:tcMar>
          </w:tcPr>
          <w:p w14:paraId="26FB1461" w14:textId="77777777" w:rsidR="00060E28" w:rsidRDefault="00AE66FF">
            <w:pPr>
              <w:pStyle w:val="TableContents"/>
              <w:jc w:val="right"/>
            </w:pPr>
            <w:r>
              <w:rPr>
                <w:rFonts w:ascii="Arial" w:eastAsia="Arial" w:hAnsi="Arial" w:cs="Arial"/>
                <w:color w:val="484D7A"/>
                <w:sz w:val="20"/>
                <w:lang w:val="fr-FR"/>
              </w:rPr>
              <w:t>50,00 %</w:t>
            </w:r>
          </w:p>
        </w:tc>
        <w:tc>
          <w:tcPr>
            <w:tcW w:w="33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49A056" w14:textId="77777777" w:rsidR="00060E28" w:rsidRDefault="00AE66FF">
            <w:pPr>
              <w:pStyle w:val="TableContents"/>
              <w:jc w:val="right"/>
            </w:pPr>
            <w:r>
              <w:rPr>
                <w:rFonts w:ascii="Arial" w:eastAsia="Arial" w:hAnsi="Arial" w:cs="Arial"/>
                <w:color w:val="484D7A"/>
                <w:sz w:val="20"/>
                <w:lang w:val="fr-FR"/>
              </w:rPr>
              <w:t>40,00 %</w:t>
            </w:r>
          </w:p>
        </w:tc>
      </w:tr>
      <w:tr w:rsidR="00060E28" w14:paraId="3CE2CCF1" w14:textId="77777777">
        <w:tc>
          <w:tcPr>
            <w:tcW w:w="3355" w:type="dxa"/>
            <w:tcBorders>
              <w:left w:val="single" w:sz="4" w:space="0" w:color="000000"/>
              <w:bottom w:val="single" w:sz="4" w:space="0" w:color="000000"/>
            </w:tcBorders>
            <w:shd w:val="clear" w:color="auto" w:fill="auto"/>
            <w:tcMar>
              <w:top w:w="55" w:type="dxa"/>
              <w:left w:w="55" w:type="dxa"/>
              <w:bottom w:w="55" w:type="dxa"/>
              <w:right w:w="55" w:type="dxa"/>
            </w:tcMar>
          </w:tcPr>
          <w:p w14:paraId="482D456B" w14:textId="77777777" w:rsidR="00060E28" w:rsidRDefault="00AE66FF">
            <w:pPr>
              <w:pStyle w:val="TableContents"/>
            </w:pPr>
            <w:r>
              <w:rPr>
                <w:rFonts w:ascii="Arial" w:eastAsia="Arial" w:hAnsi="Arial" w:cs="Arial"/>
                <w:color w:val="484D7A"/>
                <w:sz w:val="20"/>
                <w:lang w:val="fr-FR"/>
              </w:rPr>
              <w:t>Petites entreprises</w:t>
            </w:r>
          </w:p>
        </w:tc>
        <w:tc>
          <w:tcPr>
            <w:tcW w:w="3354" w:type="dxa"/>
            <w:tcBorders>
              <w:left w:val="single" w:sz="4" w:space="0" w:color="000000"/>
              <w:bottom w:val="single" w:sz="4" w:space="0" w:color="000000"/>
            </w:tcBorders>
            <w:shd w:val="clear" w:color="auto" w:fill="auto"/>
            <w:tcMar>
              <w:top w:w="55" w:type="dxa"/>
              <w:left w:w="55" w:type="dxa"/>
              <w:bottom w:w="55" w:type="dxa"/>
              <w:right w:w="55" w:type="dxa"/>
            </w:tcMar>
          </w:tcPr>
          <w:p w14:paraId="0BCCECBF" w14:textId="77777777" w:rsidR="00060E28" w:rsidRDefault="00AE66FF">
            <w:pPr>
              <w:pStyle w:val="TableContents"/>
              <w:jc w:val="right"/>
            </w:pPr>
            <w:r>
              <w:rPr>
                <w:rFonts w:ascii="Arial" w:eastAsia="Arial" w:hAnsi="Arial" w:cs="Arial"/>
                <w:color w:val="484D7A"/>
                <w:sz w:val="20"/>
                <w:lang w:val="fr-FR"/>
              </w:rPr>
              <w:t>60,00 %</w:t>
            </w:r>
          </w:p>
        </w:tc>
        <w:tc>
          <w:tcPr>
            <w:tcW w:w="335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A30AD1" w14:textId="77777777" w:rsidR="00060E28" w:rsidRDefault="00AE66FF">
            <w:pPr>
              <w:pStyle w:val="TableContents"/>
              <w:jc w:val="right"/>
            </w:pPr>
            <w:r>
              <w:rPr>
                <w:rFonts w:ascii="Arial" w:eastAsia="Arial" w:hAnsi="Arial" w:cs="Arial"/>
                <w:color w:val="484D7A"/>
                <w:sz w:val="20"/>
                <w:lang w:val="fr-FR"/>
              </w:rPr>
              <w:t>50,00 %</w:t>
            </w:r>
          </w:p>
        </w:tc>
      </w:tr>
    </w:tbl>
    <w:p w14:paraId="63DD0B4C" w14:textId="77777777" w:rsidR="00060E28" w:rsidRDefault="00060E28"/>
    <w:p w14:paraId="320742F8" w14:textId="77777777" w:rsidR="00060E28" w:rsidRDefault="00060E28"/>
    <w:p w14:paraId="5BA0EE32" w14:textId="77777777" w:rsidR="00060E28" w:rsidRDefault="00AE66FF">
      <w:pPr>
        <w:pStyle w:val="Paragraphedeliste"/>
        <w:numPr>
          <w:ilvl w:val="0"/>
          <w:numId w:val="35"/>
        </w:numPr>
      </w:pPr>
      <w:r>
        <w:rPr>
          <w:lang w:val="fr-FR"/>
        </w:rPr>
        <w:t>Cas des bénéficiaires du secteur public</w:t>
      </w:r>
    </w:p>
    <w:p w14:paraId="47DEE6A8" w14:textId="77777777" w:rsidR="00060E28" w:rsidRDefault="00060E28"/>
    <w:p w14:paraId="4D43837D" w14:textId="63B02C79" w:rsidR="00060E28" w:rsidRDefault="00AE66FF">
      <w:pPr>
        <w:jc w:val="both"/>
      </w:pPr>
      <w:r>
        <w:rPr>
          <w:lang w:val="fr-FR"/>
        </w:rPr>
        <w:t xml:space="preserve">Le financement apporté par la Région Bretagne aux organismes du secteur public prend la forme d’une subvention. Le taux d’aide maximum est égal à </w:t>
      </w:r>
      <w:r w:rsidR="008A6C26">
        <w:rPr>
          <w:lang w:val="fr-FR"/>
        </w:rPr>
        <w:t>65 </w:t>
      </w:r>
      <w:r>
        <w:rPr>
          <w:lang w:val="fr-FR"/>
        </w:rPr>
        <w:t>% des dépenses éligibles.</w:t>
      </w:r>
    </w:p>
    <w:p w14:paraId="32181EB0" w14:textId="77777777" w:rsidR="00060E28" w:rsidRDefault="00060E28">
      <w:pPr>
        <w:jc w:val="both"/>
      </w:pPr>
    </w:p>
    <w:p w14:paraId="625E1C54" w14:textId="77777777" w:rsidR="00060E28" w:rsidRDefault="00060E28"/>
    <w:p w14:paraId="4F71ACEA" w14:textId="77777777" w:rsidR="00060E28" w:rsidRDefault="00AE66FF" w:rsidP="000A499E">
      <w:pPr>
        <w:pStyle w:val="Style2"/>
        <w:numPr>
          <w:ilvl w:val="1"/>
          <w:numId w:val="60"/>
        </w:numPr>
      </w:pPr>
      <w:bookmarkStart w:id="56" w:name="__RefHeading___Toc13971_3040839714"/>
      <w:bookmarkStart w:id="57" w:name="_Toc12"/>
      <w:bookmarkStart w:id="58" w:name="_Toc97630291"/>
      <w:bookmarkStart w:id="59" w:name="_Toc97665336"/>
      <w:bookmarkStart w:id="60" w:name="_Toc100582413"/>
      <w:r>
        <w:rPr>
          <w:lang w:val="fr-FR"/>
        </w:rPr>
        <w:t>Calendrier de l’appel à projets</w:t>
      </w:r>
      <w:bookmarkEnd w:id="56"/>
      <w:bookmarkEnd w:id="57"/>
      <w:bookmarkEnd w:id="58"/>
      <w:bookmarkEnd w:id="59"/>
      <w:bookmarkEnd w:id="60"/>
    </w:p>
    <w:p w14:paraId="57036426" w14:textId="77777777" w:rsidR="00060E28" w:rsidRDefault="00060E28"/>
    <w:p w14:paraId="3825E929" w14:textId="2887E8D4" w:rsidR="00060E28" w:rsidRDefault="00AE66FF">
      <w:pPr>
        <w:numPr>
          <w:ilvl w:val="0"/>
          <w:numId w:val="36"/>
        </w:numPr>
        <w:jc w:val="both"/>
      </w:pPr>
      <w:r>
        <w:rPr>
          <w:lang w:val="fr-FR"/>
        </w:rPr>
        <w:t xml:space="preserve">To </w:t>
      </w:r>
      <w:r w:rsidR="00620DCC">
        <w:rPr>
          <w:lang w:val="fr-FR"/>
        </w:rPr>
        <w:t>Mai</w:t>
      </w:r>
      <w:r>
        <w:rPr>
          <w:lang w:val="fr-FR"/>
        </w:rPr>
        <w:t xml:space="preserve"> 2022 : Diffusion de l’appel à projets,</w:t>
      </w:r>
    </w:p>
    <w:p w14:paraId="216E9E31" w14:textId="1535FE5B" w:rsidR="00060E28" w:rsidRDefault="00864E7A">
      <w:pPr>
        <w:numPr>
          <w:ilvl w:val="0"/>
          <w:numId w:val="36"/>
        </w:numPr>
        <w:jc w:val="both"/>
      </w:pPr>
      <w:r>
        <w:rPr>
          <w:lang w:val="fr-FR"/>
        </w:rPr>
        <w:t>To+4</w:t>
      </w:r>
      <w:r w:rsidR="000C4BB7">
        <w:rPr>
          <w:lang w:val="fr-FR"/>
        </w:rPr>
        <w:t xml:space="preserve"> </w:t>
      </w:r>
      <w:r w:rsidR="00C47017">
        <w:rPr>
          <w:lang w:val="fr-FR"/>
        </w:rPr>
        <w:t>mois</w:t>
      </w:r>
      <w:r w:rsidR="00AE66FF">
        <w:rPr>
          <w:lang w:val="fr-FR"/>
        </w:rPr>
        <w:t xml:space="preserve"> </w:t>
      </w:r>
      <w:r w:rsidR="00C47017">
        <w:rPr>
          <w:lang w:val="fr-FR"/>
        </w:rPr>
        <w:t>15</w:t>
      </w:r>
      <w:r w:rsidR="00C2695A">
        <w:rPr>
          <w:lang w:val="fr-FR"/>
        </w:rPr>
        <w:t xml:space="preserve"> septembre</w:t>
      </w:r>
      <w:r w:rsidR="00AE66FF">
        <w:rPr>
          <w:lang w:val="fr-FR"/>
        </w:rPr>
        <w:t xml:space="preserve"> 2022 : </w:t>
      </w:r>
      <w:r w:rsidR="000C4BB7">
        <w:rPr>
          <w:lang w:val="fr-FR"/>
        </w:rPr>
        <w:t>C</w:t>
      </w:r>
      <w:r w:rsidR="00AE66FF">
        <w:rPr>
          <w:lang w:val="fr-FR"/>
        </w:rPr>
        <w:t>lôture de l’appel à projets,</w:t>
      </w:r>
    </w:p>
    <w:p w14:paraId="2BB77E8A" w14:textId="3E54740D" w:rsidR="00060E28" w:rsidRDefault="00864E7A">
      <w:pPr>
        <w:numPr>
          <w:ilvl w:val="0"/>
          <w:numId w:val="36"/>
        </w:numPr>
        <w:jc w:val="both"/>
      </w:pPr>
      <w:r>
        <w:rPr>
          <w:lang w:val="fr-FR"/>
        </w:rPr>
        <w:t>To+7</w:t>
      </w:r>
      <w:r w:rsidR="00AE66FF">
        <w:rPr>
          <w:lang w:val="fr-FR"/>
        </w:rPr>
        <w:t xml:space="preserve"> mois </w:t>
      </w:r>
      <w:r w:rsidR="00C47017">
        <w:rPr>
          <w:lang w:val="fr-FR"/>
        </w:rPr>
        <w:t>mi-novembre</w:t>
      </w:r>
      <w:r w:rsidR="00AE66FF">
        <w:rPr>
          <w:lang w:val="fr-FR"/>
        </w:rPr>
        <w:t xml:space="preserve"> 2022 : Audition des porteurs de dossiers </w:t>
      </w:r>
      <w:proofErr w:type="spellStart"/>
      <w:r w:rsidR="00AE66FF">
        <w:rPr>
          <w:lang w:val="fr-FR"/>
        </w:rPr>
        <w:t>pré-sélectionnés</w:t>
      </w:r>
      <w:proofErr w:type="spellEnd"/>
      <w:r w:rsidR="00AE66FF">
        <w:rPr>
          <w:lang w:val="fr-FR"/>
        </w:rPr>
        <w:t>,</w:t>
      </w:r>
    </w:p>
    <w:p w14:paraId="397E4B93" w14:textId="4410B0E2" w:rsidR="00060E28" w:rsidRDefault="00864E7A" w:rsidP="00C47017">
      <w:pPr>
        <w:pStyle w:val="Paragraphedeliste"/>
        <w:numPr>
          <w:ilvl w:val="0"/>
          <w:numId w:val="61"/>
        </w:numPr>
        <w:jc w:val="both"/>
      </w:pPr>
      <w:r>
        <w:rPr>
          <w:lang w:val="fr-FR"/>
        </w:rPr>
        <w:t>To+10</w:t>
      </w:r>
      <w:r w:rsidR="00AE66FF" w:rsidRPr="00C47017">
        <w:rPr>
          <w:lang w:val="fr-FR"/>
        </w:rPr>
        <w:t xml:space="preserve"> mois </w:t>
      </w:r>
      <w:r w:rsidR="00C2695A" w:rsidRPr="00C47017">
        <w:rPr>
          <w:lang w:val="fr-FR"/>
        </w:rPr>
        <w:t>février</w:t>
      </w:r>
      <w:r w:rsidR="00AE66FF" w:rsidRPr="00C47017">
        <w:rPr>
          <w:lang w:val="fr-FR"/>
        </w:rPr>
        <w:t xml:space="preserve"> 202</w:t>
      </w:r>
      <w:r w:rsidR="00C47017" w:rsidRPr="00C47017">
        <w:rPr>
          <w:lang w:val="fr-FR"/>
        </w:rPr>
        <w:t>3</w:t>
      </w:r>
      <w:r w:rsidR="00AE66FF" w:rsidRPr="00C47017">
        <w:rPr>
          <w:lang w:val="fr-FR"/>
        </w:rPr>
        <w:t> : Notification et publication des projets retenus puis signature à suivre des conventions</w:t>
      </w:r>
    </w:p>
    <w:p w14:paraId="3D261F45" w14:textId="597EA992" w:rsidR="00060E28" w:rsidRDefault="00AE66FF" w:rsidP="00C47017">
      <w:pPr>
        <w:pStyle w:val="Paragraphedeliste"/>
        <w:numPr>
          <w:ilvl w:val="0"/>
          <w:numId w:val="61"/>
        </w:numPr>
        <w:jc w:val="both"/>
      </w:pPr>
      <w:r w:rsidRPr="00C47017">
        <w:rPr>
          <w:lang w:val="fr-FR"/>
        </w:rPr>
        <w:t>T</w:t>
      </w:r>
      <w:r w:rsidR="00864E7A">
        <w:rPr>
          <w:lang w:val="fr-FR"/>
        </w:rPr>
        <w:t>o+12</w:t>
      </w:r>
      <w:r w:rsidRPr="00C47017">
        <w:rPr>
          <w:lang w:val="fr-FR"/>
        </w:rPr>
        <w:t xml:space="preserve"> mois </w:t>
      </w:r>
      <w:r w:rsidR="00864E7A">
        <w:rPr>
          <w:lang w:val="fr-FR"/>
        </w:rPr>
        <w:t>avril</w:t>
      </w:r>
      <w:r w:rsidRPr="00C47017">
        <w:rPr>
          <w:lang w:val="fr-FR"/>
        </w:rPr>
        <w:t xml:space="preserve"> 2023 : </w:t>
      </w:r>
      <w:r w:rsidR="000C4BB7">
        <w:rPr>
          <w:lang w:val="fr-FR"/>
        </w:rPr>
        <w:t>D</w:t>
      </w:r>
      <w:r w:rsidRPr="00C47017">
        <w:rPr>
          <w:lang w:val="fr-FR"/>
        </w:rPr>
        <w:t>émarrage de la phase 1 : Développement et adaptation des capteurs</w:t>
      </w:r>
    </w:p>
    <w:p w14:paraId="7A8A5DE0" w14:textId="63194FF6" w:rsidR="00060E28" w:rsidRDefault="00AE66FF" w:rsidP="00C47017">
      <w:pPr>
        <w:pStyle w:val="Paragraphedeliste"/>
        <w:numPr>
          <w:ilvl w:val="0"/>
          <w:numId w:val="61"/>
        </w:numPr>
        <w:jc w:val="both"/>
      </w:pPr>
      <w:r w:rsidRPr="00C47017">
        <w:rPr>
          <w:lang w:val="fr-FR"/>
        </w:rPr>
        <w:t>To+1</w:t>
      </w:r>
      <w:r w:rsidR="00864E7A">
        <w:rPr>
          <w:lang w:val="fr-FR"/>
        </w:rPr>
        <w:t>7</w:t>
      </w:r>
      <w:r w:rsidRPr="00C47017">
        <w:rPr>
          <w:lang w:val="fr-FR"/>
        </w:rPr>
        <w:t xml:space="preserve"> mois </w:t>
      </w:r>
      <w:r w:rsidR="00C47017" w:rsidRPr="00C47017">
        <w:rPr>
          <w:lang w:val="fr-FR"/>
        </w:rPr>
        <w:t>septembre/ décembre</w:t>
      </w:r>
      <w:r w:rsidRPr="00C47017">
        <w:rPr>
          <w:lang w:val="fr-FR"/>
        </w:rPr>
        <w:t xml:space="preserve"> 2023 : Comité de suivi intermédiaire / phase audition</w:t>
      </w:r>
    </w:p>
    <w:p w14:paraId="294042FA" w14:textId="0966D518" w:rsidR="00060E28" w:rsidRDefault="00AE66FF" w:rsidP="00C47017">
      <w:pPr>
        <w:pStyle w:val="Paragraphedeliste"/>
        <w:numPr>
          <w:ilvl w:val="0"/>
          <w:numId w:val="61"/>
        </w:numPr>
        <w:jc w:val="both"/>
      </w:pPr>
      <w:r w:rsidRPr="00C47017">
        <w:rPr>
          <w:lang w:val="fr-FR"/>
        </w:rPr>
        <w:t>To+2</w:t>
      </w:r>
      <w:r w:rsidR="00C47017" w:rsidRPr="00C47017">
        <w:rPr>
          <w:lang w:val="fr-FR"/>
        </w:rPr>
        <w:t>2</w:t>
      </w:r>
      <w:r w:rsidRPr="00C47017">
        <w:rPr>
          <w:lang w:val="fr-FR"/>
        </w:rPr>
        <w:t xml:space="preserve"> mois</w:t>
      </w:r>
      <w:r w:rsidR="000C4BB7">
        <w:rPr>
          <w:lang w:val="fr-FR"/>
        </w:rPr>
        <w:t xml:space="preserve"> </w:t>
      </w:r>
      <w:r w:rsidRPr="00C47017">
        <w:rPr>
          <w:lang w:val="fr-FR"/>
        </w:rPr>
        <w:t xml:space="preserve">: </w:t>
      </w:r>
      <w:r w:rsidR="000C4BB7">
        <w:rPr>
          <w:lang w:val="fr-FR"/>
        </w:rPr>
        <w:t>N</w:t>
      </w:r>
      <w:r w:rsidRPr="00C47017">
        <w:rPr>
          <w:lang w:val="fr-FR"/>
        </w:rPr>
        <w:t>otification des dossiers habilités à poursuivre sur site</w:t>
      </w:r>
    </w:p>
    <w:p w14:paraId="21563A2D" w14:textId="1F57E131" w:rsidR="00060E28" w:rsidRDefault="00AE66FF" w:rsidP="00C47017">
      <w:pPr>
        <w:pStyle w:val="Paragraphedeliste"/>
        <w:numPr>
          <w:ilvl w:val="0"/>
          <w:numId w:val="61"/>
        </w:numPr>
        <w:jc w:val="both"/>
      </w:pPr>
      <w:r w:rsidRPr="00C47017">
        <w:rPr>
          <w:lang w:val="fr-FR"/>
        </w:rPr>
        <w:t>To+3</w:t>
      </w:r>
      <w:r w:rsidR="00864E7A">
        <w:rPr>
          <w:lang w:val="fr-FR"/>
        </w:rPr>
        <w:t>3</w:t>
      </w:r>
      <w:r w:rsidRPr="00C47017">
        <w:rPr>
          <w:lang w:val="fr-FR"/>
        </w:rPr>
        <w:t xml:space="preserve"> mois : </w:t>
      </w:r>
      <w:r w:rsidR="000C4BB7">
        <w:rPr>
          <w:lang w:val="fr-FR"/>
        </w:rPr>
        <w:t>F</w:t>
      </w:r>
      <w:r w:rsidRPr="00C47017">
        <w:rPr>
          <w:lang w:val="fr-FR"/>
        </w:rPr>
        <w:t>ourniture rapport intermédiaire</w:t>
      </w:r>
    </w:p>
    <w:p w14:paraId="0402A386" w14:textId="7F455F06" w:rsidR="00060E28" w:rsidRDefault="00864E7A" w:rsidP="00C47017">
      <w:pPr>
        <w:pStyle w:val="Paragraphedeliste"/>
        <w:numPr>
          <w:ilvl w:val="0"/>
          <w:numId w:val="61"/>
        </w:numPr>
        <w:jc w:val="both"/>
      </w:pPr>
      <w:r>
        <w:rPr>
          <w:lang w:val="fr-FR"/>
        </w:rPr>
        <w:t>To+42</w:t>
      </w:r>
      <w:r w:rsidR="00AE66FF" w:rsidRPr="00C47017">
        <w:rPr>
          <w:lang w:val="fr-FR"/>
        </w:rPr>
        <w:t xml:space="preserve"> mois : Clôture du projet, réception de l’ensemble des livrables.</w:t>
      </w:r>
    </w:p>
    <w:p w14:paraId="7447F09E" w14:textId="77777777" w:rsidR="00060E28" w:rsidRDefault="00060E28"/>
    <w:p w14:paraId="06E6CC4C" w14:textId="77777777" w:rsidR="00060E28" w:rsidRDefault="00AE66FF">
      <w:r>
        <w:rPr>
          <w:lang w:val="fr-FR"/>
        </w:rPr>
        <w:t xml:space="preserve">NB : </w:t>
      </w:r>
      <w:r>
        <w:rPr>
          <w:lang w:val="fr-FR"/>
        </w:rPr>
        <w:tab/>
        <w:t>Un planning est joint au présent appel à projet pour faciliter la compréhension (pièce 5 en annexe).</w:t>
      </w:r>
    </w:p>
    <w:p w14:paraId="5F382C7D" w14:textId="77777777" w:rsidR="00060E28" w:rsidRDefault="00AE66FF">
      <w:r>
        <w:rPr>
          <w:lang w:val="fr-FR"/>
        </w:rPr>
        <w:tab/>
        <w:t>Le planning présenté reste un planning prévisionnel.</w:t>
      </w:r>
    </w:p>
    <w:p w14:paraId="090FB00C" w14:textId="77777777" w:rsidR="00060E28" w:rsidRDefault="00060E28"/>
    <w:p w14:paraId="39E180C5" w14:textId="77777777" w:rsidR="00060E28" w:rsidRDefault="00060E28"/>
    <w:p w14:paraId="1B15D930" w14:textId="77777777" w:rsidR="00060E28" w:rsidRDefault="00AE66FF" w:rsidP="000A499E">
      <w:pPr>
        <w:pStyle w:val="Style2"/>
        <w:numPr>
          <w:ilvl w:val="1"/>
          <w:numId w:val="60"/>
        </w:numPr>
      </w:pPr>
      <w:bookmarkStart w:id="61" w:name="__RefHeading___Toc1990_2497833095"/>
      <w:bookmarkStart w:id="62" w:name="_Toc13"/>
      <w:bookmarkStart w:id="63" w:name="_Toc97630292"/>
      <w:bookmarkStart w:id="64" w:name="_Toc97665337"/>
      <w:bookmarkStart w:id="65" w:name="_Toc100582414"/>
      <w:r>
        <w:rPr>
          <w:lang w:val="fr-FR"/>
        </w:rPr>
        <w:t>Ouvrages concernés</w:t>
      </w:r>
      <w:bookmarkEnd w:id="61"/>
      <w:bookmarkEnd w:id="62"/>
      <w:bookmarkEnd w:id="63"/>
      <w:bookmarkEnd w:id="64"/>
      <w:bookmarkEnd w:id="65"/>
    </w:p>
    <w:p w14:paraId="3039D530" w14:textId="77777777" w:rsidR="00060E28" w:rsidRDefault="00060E28"/>
    <w:p w14:paraId="35B4689B" w14:textId="77777777" w:rsidR="00060E28" w:rsidRDefault="00AE66FF">
      <w:pPr>
        <w:jc w:val="both"/>
      </w:pPr>
      <w:r>
        <w:rPr>
          <w:lang w:val="fr-FR"/>
        </w:rPr>
        <w:t>La solution d’instrumentation proposée par le consortium sera déployée sur un ou plusieurs ouvrages portuaires mis à disposition par la Région Bretagne.</w:t>
      </w:r>
    </w:p>
    <w:p w14:paraId="651DD7CD" w14:textId="77777777" w:rsidR="00060E28" w:rsidRDefault="00060E28">
      <w:pPr>
        <w:jc w:val="both"/>
      </w:pPr>
    </w:p>
    <w:p w14:paraId="44ECB6FA" w14:textId="77777777" w:rsidR="00060E28" w:rsidRDefault="00AE66FF">
      <w:pPr>
        <w:jc w:val="both"/>
      </w:pPr>
      <w:r>
        <w:rPr>
          <w:lang w:val="fr-FR"/>
        </w:rPr>
        <w:t>À ce stade, l’ouvrage pré-identifié est l’estacade de desserte de l’île de Batz à Roscoff Vieux Port.</w:t>
      </w:r>
    </w:p>
    <w:p w14:paraId="13A6DF00" w14:textId="77777777" w:rsidR="00060E28" w:rsidRDefault="00060E28">
      <w:pPr>
        <w:jc w:val="both"/>
        <w:rPr>
          <w:lang w:val="fr-FR"/>
        </w:rPr>
      </w:pPr>
    </w:p>
    <w:p w14:paraId="03C5C8FD" w14:textId="77777777" w:rsidR="00060E28" w:rsidRDefault="00AE66FF">
      <w:pPr>
        <w:jc w:val="both"/>
        <w:rPr>
          <w:lang w:val="fr-FR"/>
        </w:rPr>
      </w:pPr>
      <w:r>
        <w:rPr>
          <w:lang w:val="fr-FR"/>
        </w:rPr>
        <w:t>La Région Bretagne est propriétaire de cet ouvrage. Une opération a été lancée afin de réhabiliter l’ouvrage. Les travaux comprennent notamment la réhabilitation des piles en béton armé de l’estacade.</w:t>
      </w:r>
    </w:p>
    <w:p w14:paraId="55BC380C" w14:textId="77777777" w:rsidR="00060E28" w:rsidRDefault="00060E28">
      <w:pPr>
        <w:jc w:val="both"/>
        <w:rPr>
          <w:lang w:val="fr-FR"/>
        </w:rPr>
      </w:pPr>
    </w:p>
    <w:p w14:paraId="30BF0FA8" w14:textId="77777777" w:rsidR="00060E28" w:rsidRDefault="00AE66FF">
      <w:pPr>
        <w:jc w:val="both"/>
      </w:pPr>
      <w:r>
        <w:rPr>
          <w:lang w:val="fr-FR"/>
        </w:rPr>
        <w:t>Le planning prévisionnel de l’opération est le suivant :</w:t>
      </w:r>
    </w:p>
    <w:p w14:paraId="2CC87E11" w14:textId="77777777" w:rsidR="00060E28" w:rsidRDefault="00AE66FF">
      <w:pPr>
        <w:numPr>
          <w:ilvl w:val="0"/>
          <w:numId w:val="37"/>
        </w:numPr>
        <w:jc w:val="both"/>
      </w:pPr>
      <w:r>
        <w:rPr>
          <w:lang w:val="fr-FR"/>
        </w:rPr>
        <w:t>Missions de maîtrise d’œuvre phase études et phase réglementaire de septembre 2021 à mi-2023 ;</w:t>
      </w:r>
    </w:p>
    <w:p w14:paraId="22992A72" w14:textId="12EE0DAD" w:rsidR="00060E28" w:rsidRDefault="00AE66FF">
      <w:pPr>
        <w:numPr>
          <w:ilvl w:val="0"/>
          <w:numId w:val="37"/>
        </w:numPr>
        <w:jc w:val="both"/>
      </w:pPr>
      <w:r>
        <w:rPr>
          <w:lang w:val="fr-FR"/>
        </w:rPr>
        <w:t xml:space="preserve">Appel d’offres travaux </w:t>
      </w:r>
      <w:r w:rsidR="00864E7A">
        <w:rPr>
          <w:lang w:val="fr-FR"/>
        </w:rPr>
        <w:t>début 2024</w:t>
      </w:r>
      <w:r>
        <w:rPr>
          <w:lang w:val="fr-FR"/>
        </w:rPr>
        <w:t> ;</w:t>
      </w:r>
    </w:p>
    <w:p w14:paraId="68FE09D7" w14:textId="76B9A46E" w:rsidR="00060E28" w:rsidRDefault="00AE66FF">
      <w:pPr>
        <w:numPr>
          <w:ilvl w:val="0"/>
          <w:numId w:val="37"/>
        </w:numPr>
        <w:jc w:val="both"/>
      </w:pPr>
      <w:r>
        <w:rPr>
          <w:lang w:val="fr-FR"/>
        </w:rPr>
        <w:t xml:space="preserve">Déroulement des travaux de </w:t>
      </w:r>
      <w:r w:rsidR="00864E7A">
        <w:rPr>
          <w:lang w:val="fr-FR"/>
        </w:rPr>
        <w:t>septembre</w:t>
      </w:r>
      <w:r>
        <w:rPr>
          <w:lang w:val="fr-FR"/>
        </w:rPr>
        <w:t xml:space="preserve"> 2024 à </w:t>
      </w:r>
      <w:r w:rsidR="00864E7A">
        <w:rPr>
          <w:lang w:val="fr-FR"/>
        </w:rPr>
        <w:t xml:space="preserve">fin </w:t>
      </w:r>
      <w:r>
        <w:rPr>
          <w:lang w:val="fr-FR"/>
        </w:rPr>
        <w:t>2025.</w:t>
      </w:r>
    </w:p>
    <w:p w14:paraId="74CC604F" w14:textId="77777777" w:rsidR="00060E28" w:rsidRDefault="00060E28">
      <w:pPr>
        <w:jc w:val="both"/>
      </w:pPr>
    </w:p>
    <w:p w14:paraId="5F97A36B" w14:textId="77777777" w:rsidR="00060E28" w:rsidRDefault="00AE66FF">
      <w:pPr>
        <w:jc w:val="both"/>
      </w:pPr>
      <w:r>
        <w:rPr>
          <w:lang w:val="fr-FR"/>
        </w:rPr>
        <w:t>Ce planning est susceptible d’évoluer en fonction du déroulement des phases études et réglementaires.</w:t>
      </w:r>
    </w:p>
    <w:p w14:paraId="57652F4A" w14:textId="77777777" w:rsidR="00060E28" w:rsidRDefault="00060E28">
      <w:pPr>
        <w:jc w:val="both"/>
      </w:pPr>
    </w:p>
    <w:p w14:paraId="5FD4078B" w14:textId="77777777" w:rsidR="00060E28" w:rsidRDefault="00060E28"/>
    <w:p w14:paraId="64323B48" w14:textId="77777777" w:rsidR="00060E28" w:rsidRDefault="00AE66FF" w:rsidP="000A499E">
      <w:pPr>
        <w:pStyle w:val="Style2"/>
        <w:numPr>
          <w:ilvl w:val="1"/>
          <w:numId w:val="60"/>
        </w:numPr>
      </w:pPr>
      <w:bookmarkStart w:id="66" w:name="__RefHeading___Toc13973_3040839714"/>
      <w:bookmarkStart w:id="67" w:name="_Toc14"/>
      <w:bookmarkStart w:id="68" w:name="_Toc97630293"/>
      <w:bookmarkStart w:id="69" w:name="_Toc97665338"/>
      <w:bookmarkStart w:id="70" w:name="_Toc100582415"/>
      <w:r>
        <w:rPr>
          <w:lang w:val="fr-FR"/>
        </w:rPr>
        <w:t>Composition du dossier de candidature</w:t>
      </w:r>
      <w:bookmarkEnd w:id="66"/>
      <w:bookmarkEnd w:id="67"/>
      <w:bookmarkEnd w:id="68"/>
      <w:bookmarkEnd w:id="69"/>
      <w:bookmarkEnd w:id="70"/>
    </w:p>
    <w:p w14:paraId="7619268C" w14:textId="77777777" w:rsidR="00060E28" w:rsidRDefault="00060E28"/>
    <w:p w14:paraId="3DE8D08E" w14:textId="77777777" w:rsidR="00060E28" w:rsidRDefault="00AE66FF">
      <w:pPr>
        <w:jc w:val="both"/>
      </w:pPr>
      <w:r>
        <w:rPr>
          <w:b/>
          <w:lang w:val="fr-FR"/>
        </w:rPr>
        <w:t>1 - Le Dossier de candidature</w:t>
      </w:r>
      <w:r>
        <w:rPr>
          <w:lang w:val="fr-FR"/>
        </w:rPr>
        <w:t xml:space="preserve"> du projet, selon la trame détaillée fournie dans le fichier « 1. Dossier-de-candidature-nom projet », d’une longueur maximale de 5 000 mots (environ 12 pages A4 en Arial 11 pts), rédigé uniquement en français, et remis au format PDF. Les principales informations attendues sont :</w:t>
      </w:r>
    </w:p>
    <w:p w14:paraId="2795AFA1" w14:textId="77777777" w:rsidR="00060E28" w:rsidRDefault="00060E28"/>
    <w:p w14:paraId="347F7760" w14:textId="77777777" w:rsidR="00060E28" w:rsidRDefault="00AE66FF">
      <w:pPr>
        <w:numPr>
          <w:ilvl w:val="0"/>
          <w:numId w:val="38"/>
        </w:numPr>
        <w:jc w:val="both"/>
      </w:pPr>
      <w:proofErr w:type="gramStart"/>
      <w:r>
        <w:rPr>
          <w:lang w:val="fr-FR"/>
        </w:rPr>
        <w:t>coordonnées</w:t>
      </w:r>
      <w:proofErr w:type="gramEnd"/>
      <w:r>
        <w:rPr>
          <w:lang w:val="fr-FR"/>
        </w:rPr>
        <w:t xml:space="preserve"> du porteur et des partenaires du projet,</w:t>
      </w:r>
    </w:p>
    <w:p w14:paraId="19136715" w14:textId="77777777" w:rsidR="00060E28" w:rsidRDefault="00AE66FF">
      <w:pPr>
        <w:numPr>
          <w:ilvl w:val="0"/>
          <w:numId w:val="38"/>
        </w:numPr>
        <w:jc w:val="both"/>
      </w:pPr>
      <w:proofErr w:type="gramStart"/>
      <w:r>
        <w:rPr>
          <w:lang w:val="fr-FR"/>
        </w:rPr>
        <w:t>nom</w:t>
      </w:r>
      <w:proofErr w:type="gramEnd"/>
      <w:r>
        <w:rPr>
          <w:lang w:val="fr-FR"/>
        </w:rPr>
        <w:t xml:space="preserve"> ou titre, acronyme et durée du projet,</w:t>
      </w:r>
    </w:p>
    <w:p w14:paraId="186655DE" w14:textId="77777777" w:rsidR="00060E28" w:rsidRDefault="00AE66FF">
      <w:pPr>
        <w:numPr>
          <w:ilvl w:val="0"/>
          <w:numId w:val="38"/>
        </w:numPr>
        <w:jc w:val="both"/>
      </w:pPr>
      <w:proofErr w:type="gramStart"/>
      <w:r>
        <w:rPr>
          <w:lang w:val="fr-FR"/>
        </w:rPr>
        <w:t>budget</w:t>
      </w:r>
      <w:proofErr w:type="gramEnd"/>
      <w:r>
        <w:rPr>
          <w:lang w:val="fr-FR"/>
        </w:rPr>
        <w:t xml:space="preserve"> détaillé par nature de coût et partenaires et demande de financement,</w:t>
      </w:r>
    </w:p>
    <w:p w14:paraId="28F8D2D5" w14:textId="77777777" w:rsidR="00060E28" w:rsidRDefault="00AE66FF">
      <w:pPr>
        <w:numPr>
          <w:ilvl w:val="0"/>
          <w:numId w:val="38"/>
        </w:numPr>
        <w:jc w:val="both"/>
      </w:pPr>
      <w:proofErr w:type="gramStart"/>
      <w:r>
        <w:rPr>
          <w:lang w:val="fr-FR"/>
        </w:rPr>
        <w:t>diagramme</w:t>
      </w:r>
      <w:proofErr w:type="gramEnd"/>
      <w:r>
        <w:rPr>
          <w:lang w:val="fr-FR"/>
        </w:rPr>
        <w:t xml:space="preserve"> de Gantt ou planning de réalisation du projet (tâches avec dates de début et fin, enchaînement des tâches, contribution de chaque partenaire à ces tâches),</w:t>
      </w:r>
    </w:p>
    <w:p w14:paraId="6CBCFD28" w14:textId="77777777" w:rsidR="00060E28" w:rsidRDefault="00AE66FF">
      <w:pPr>
        <w:numPr>
          <w:ilvl w:val="0"/>
          <w:numId w:val="38"/>
        </w:numPr>
        <w:jc w:val="both"/>
      </w:pPr>
      <w:proofErr w:type="gramStart"/>
      <w:r>
        <w:rPr>
          <w:lang w:val="fr-FR"/>
        </w:rPr>
        <w:t>la</w:t>
      </w:r>
      <w:proofErr w:type="gramEnd"/>
      <w:r>
        <w:rPr>
          <w:lang w:val="fr-FR"/>
        </w:rPr>
        <w:t xml:space="preserve"> description du projet, qui présentera notamment :</w:t>
      </w:r>
    </w:p>
    <w:p w14:paraId="2948E82F" w14:textId="77777777" w:rsidR="00060E28" w:rsidRDefault="00AE66FF">
      <w:pPr>
        <w:numPr>
          <w:ilvl w:val="1"/>
          <w:numId w:val="38"/>
        </w:numPr>
        <w:jc w:val="both"/>
      </w:pPr>
      <w:proofErr w:type="gramStart"/>
      <w:r>
        <w:rPr>
          <w:lang w:val="fr-FR"/>
        </w:rPr>
        <w:t>le</w:t>
      </w:r>
      <w:proofErr w:type="gramEnd"/>
      <w:r>
        <w:rPr>
          <w:lang w:val="fr-FR"/>
        </w:rPr>
        <w:t xml:space="preserve"> contexte,</w:t>
      </w:r>
    </w:p>
    <w:p w14:paraId="6D002844" w14:textId="77777777" w:rsidR="00060E28" w:rsidRDefault="00AE66FF">
      <w:pPr>
        <w:numPr>
          <w:ilvl w:val="1"/>
          <w:numId w:val="38"/>
        </w:numPr>
        <w:jc w:val="both"/>
      </w:pPr>
      <w:proofErr w:type="gramStart"/>
      <w:r>
        <w:rPr>
          <w:lang w:val="fr-FR"/>
        </w:rPr>
        <w:t>la</w:t>
      </w:r>
      <w:proofErr w:type="gramEnd"/>
      <w:r>
        <w:rPr>
          <w:lang w:val="fr-FR"/>
        </w:rPr>
        <w:t xml:space="preserve"> description du projet, éventuellement son rattachement aux ouvrages concernés,</w:t>
      </w:r>
    </w:p>
    <w:p w14:paraId="3A15A6B3" w14:textId="77777777" w:rsidR="00060E28" w:rsidRDefault="00AE66FF">
      <w:pPr>
        <w:numPr>
          <w:ilvl w:val="1"/>
          <w:numId w:val="38"/>
        </w:numPr>
        <w:jc w:val="both"/>
      </w:pPr>
      <w:proofErr w:type="gramStart"/>
      <w:r>
        <w:rPr>
          <w:lang w:val="fr-FR"/>
        </w:rPr>
        <w:t>la</w:t>
      </w:r>
      <w:proofErr w:type="gramEnd"/>
      <w:r>
        <w:rPr>
          <w:lang w:val="fr-FR"/>
        </w:rPr>
        <w:t xml:space="preserve"> méthode de validation de la méthodologie proposée,</w:t>
      </w:r>
    </w:p>
    <w:p w14:paraId="6BA8ED60" w14:textId="77777777" w:rsidR="00060E28" w:rsidRDefault="00AE66FF">
      <w:pPr>
        <w:numPr>
          <w:ilvl w:val="1"/>
          <w:numId w:val="38"/>
        </w:numPr>
        <w:jc w:val="both"/>
      </w:pPr>
      <w:proofErr w:type="gramStart"/>
      <w:r>
        <w:rPr>
          <w:lang w:val="fr-FR"/>
        </w:rPr>
        <w:t>les</w:t>
      </w:r>
      <w:proofErr w:type="gramEnd"/>
      <w:r>
        <w:rPr>
          <w:lang w:val="fr-FR"/>
        </w:rPr>
        <w:t xml:space="preserve"> potentialités de développement,</w:t>
      </w:r>
    </w:p>
    <w:p w14:paraId="4AA77F99" w14:textId="77777777" w:rsidR="00060E28" w:rsidRDefault="00AE66FF">
      <w:pPr>
        <w:numPr>
          <w:ilvl w:val="1"/>
          <w:numId w:val="38"/>
        </w:numPr>
        <w:jc w:val="both"/>
      </w:pPr>
      <w:proofErr w:type="gramStart"/>
      <w:r>
        <w:rPr>
          <w:lang w:val="fr-FR"/>
        </w:rPr>
        <w:t>les</w:t>
      </w:r>
      <w:proofErr w:type="gramEnd"/>
      <w:r>
        <w:rPr>
          <w:lang w:val="fr-FR"/>
        </w:rPr>
        <w:t xml:space="preserve"> livrables attendus (preuve de concept, rapports d’essais, publications, etc.),</w:t>
      </w:r>
    </w:p>
    <w:p w14:paraId="16D6F703" w14:textId="77777777" w:rsidR="00060E28" w:rsidRDefault="00AE66FF">
      <w:pPr>
        <w:numPr>
          <w:ilvl w:val="1"/>
          <w:numId w:val="38"/>
        </w:numPr>
        <w:jc w:val="both"/>
      </w:pPr>
      <w:proofErr w:type="gramStart"/>
      <w:r>
        <w:rPr>
          <w:lang w:val="fr-FR"/>
        </w:rPr>
        <w:t>le</w:t>
      </w:r>
      <w:proofErr w:type="gramEnd"/>
      <w:r>
        <w:rPr>
          <w:lang w:val="fr-FR"/>
        </w:rPr>
        <w:t xml:space="preserve"> protocole de validation de la méthode (instrumentation et traitement des données),</w:t>
      </w:r>
    </w:p>
    <w:p w14:paraId="4FCEED2E" w14:textId="77777777" w:rsidR="00060E28" w:rsidRDefault="00AE66FF">
      <w:pPr>
        <w:numPr>
          <w:ilvl w:val="0"/>
          <w:numId w:val="38"/>
        </w:numPr>
        <w:jc w:val="both"/>
      </w:pPr>
      <w:r>
        <w:rPr>
          <w:lang w:val="fr-FR"/>
        </w:rPr>
        <w:t>Le plan d’exploitation et de diffusion des résultats du projet,</w:t>
      </w:r>
    </w:p>
    <w:p w14:paraId="506DD54D" w14:textId="77777777" w:rsidR="00060E28" w:rsidRDefault="00AE66FF">
      <w:pPr>
        <w:numPr>
          <w:ilvl w:val="0"/>
          <w:numId w:val="38"/>
        </w:numPr>
        <w:jc w:val="both"/>
      </w:pPr>
      <w:proofErr w:type="gramStart"/>
      <w:r>
        <w:rPr>
          <w:lang w:val="fr-FR"/>
        </w:rPr>
        <w:t>une</w:t>
      </w:r>
      <w:proofErr w:type="gramEnd"/>
      <w:r>
        <w:rPr>
          <w:lang w:val="fr-FR"/>
        </w:rPr>
        <w:t xml:space="preserve"> description de chaque organisme partenaire expliquant notamment ses apports et compétences pour le projet et ses références,</w:t>
      </w:r>
    </w:p>
    <w:p w14:paraId="209CD1C7" w14:textId="77777777" w:rsidR="00060E28" w:rsidRDefault="00AE66FF">
      <w:pPr>
        <w:numPr>
          <w:ilvl w:val="0"/>
          <w:numId w:val="38"/>
        </w:numPr>
        <w:jc w:val="both"/>
      </w:pPr>
      <w:proofErr w:type="gramStart"/>
      <w:r>
        <w:rPr>
          <w:lang w:val="fr-FR"/>
        </w:rPr>
        <w:t>les</w:t>
      </w:r>
      <w:proofErr w:type="gramEnd"/>
      <w:r>
        <w:rPr>
          <w:lang w:val="fr-FR"/>
        </w:rPr>
        <w:t xml:space="preserve"> contributeurs de chaque partenaire, avec noms, prénoms, titres, fonctions et 8 lignes de biographie,</w:t>
      </w:r>
    </w:p>
    <w:p w14:paraId="3B287ADD" w14:textId="77777777" w:rsidR="00060E28" w:rsidRDefault="00AE66FF">
      <w:pPr>
        <w:numPr>
          <w:ilvl w:val="0"/>
          <w:numId w:val="38"/>
        </w:numPr>
        <w:jc w:val="both"/>
      </w:pPr>
      <w:proofErr w:type="gramStart"/>
      <w:r>
        <w:rPr>
          <w:lang w:val="fr-FR"/>
        </w:rPr>
        <w:t>la</w:t>
      </w:r>
      <w:proofErr w:type="gramEnd"/>
      <w:r>
        <w:rPr>
          <w:lang w:val="fr-FR"/>
        </w:rPr>
        <w:t xml:space="preserve"> bibliographie et les références.</w:t>
      </w:r>
    </w:p>
    <w:p w14:paraId="1AFE3346" w14:textId="77777777" w:rsidR="00060E28" w:rsidRDefault="00060E28">
      <w:pPr>
        <w:jc w:val="both"/>
      </w:pPr>
    </w:p>
    <w:p w14:paraId="2501C6BE" w14:textId="77777777" w:rsidR="00060E28" w:rsidRDefault="00AE66FF">
      <w:pPr>
        <w:jc w:val="both"/>
      </w:pPr>
      <w:r>
        <w:rPr>
          <w:lang w:val="fr-FR"/>
        </w:rPr>
        <w:t>Seront en outre joints en annexe (en sus de la limite de longueur du dossier) :</w:t>
      </w:r>
    </w:p>
    <w:p w14:paraId="50323759" w14:textId="77777777" w:rsidR="00060E28" w:rsidRDefault="00060E28">
      <w:pPr>
        <w:jc w:val="both"/>
      </w:pPr>
    </w:p>
    <w:p w14:paraId="31822062" w14:textId="77777777" w:rsidR="00060E28" w:rsidRDefault="00AE66FF">
      <w:pPr>
        <w:numPr>
          <w:ilvl w:val="0"/>
          <w:numId w:val="39"/>
        </w:numPr>
        <w:jc w:val="both"/>
      </w:pPr>
      <w:proofErr w:type="gramStart"/>
      <w:r>
        <w:rPr>
          <w:lang w:val="fr-FR"/>
        </w:rPr>
        <w:t>la</w:t>
      </w:r>
      <w:proofErr w:type="gramEnd"/>
      <w:r>
        <w:rPr>
          <w:lang w:val="fr-FR"/>
        </w:rPr>
        <w:t xml:space="preserve"> fiche de synthèse technique « 2.fiche_de_synthese_instrumentation innovantes des ouvrages </w:t>
      </w:r>
      <w:proofErr w:type="spellStart"/>
      <w:r>
        <w:rPr>
          <w:lang w:val="fr-FR"/>
        </w:rPr>
        <w:t>portuaires_nom_projet</w:t>
      </w:r>
      <w:proofErr w:type="spellEnd"/>
      <w:r>
        <w:rPr>
          <w:lang w:val="fr-FR"/>
        </w:rPr>
        <w:t xml:space="preserve"> » dûment remplie au format </w:t>
      </w:r>
      <w:proofErr w:type="spellStart"/>
      <w:r>
        <w:rPr>
          <w:lang w:val="fr-FR"/>
        </w:rPr>
        <w:t>excel</w:t>
      </w:r>
      <w:proofErr w:type="spellEnd"/>
      <w:r>
        <w:rPr>
          <w:lang w:val="fr-FR"/>
        </w:rPr>
        <w:t>, conforme aux exigences de l’</w:t>
      </w:r>
      <w:r>
        <w:rPr>
          <w:shd w:val="clear" w:color="auto" w:fill="FFFFFF"/>
          <w:lang w:val="fr-FR"/>
        </w:rPr>
        <w:t>annexe 1</w:t>
      </w:r>
      <w:r>
        <w:rPr>
          <w:lang w:val="fr-FR"/>
        </w:rPr>
        <w:t xml:space="preserve"> du présent document,</w:t>
      </w:r>
    </w:p>
    <w:p w14:paraId="68211B47" w14:textId="77777777" w:rsidR="00060E28" w:rsidRDefault="00AE66FF">
      <w:pPr>
        <w:numPr>
          <w:ilvl w:val="0"/>
          <w:numId w:val="39"/>
        </w:numPr>
        <w:jc w:val="both"/>
      </w:pPr>
      <w:proofErr w:type="gramStart"/>
      <w:r>
        <w:rPr>
          <w:lang w:val="fr-FR"/>
        </w:rPr>
        <w:t>la</w:t>
      </w:r>
      <w:proofErr w:type="gramEnd"/>
      <w:r>
        <w:rPr>
          <w:lang w:val="fr-FR"/>
        </w:rPr>
        <w:t xml:space="preserve"> convention  (document 3) ; ce document sera à signer ultérieurement par les consortiums retenus à l’issue du processus de sélection</w:t>
      </w:r>
    </w:p>
    <w:p w14:paraId="59205E2A" w14:textId="77777777" w:rsidR="00060E28" w:rsidRDefault="00AE66FF">
      <w:pPr>
        <w:numPr>
          <w:ilvl w:val="0"/>
          <w:numId w:val="39"/>
        </w:numPr>
        <w:jc w:val="both"/>
      </w:pPr>
      <w:proofErr w:type="gramStart"/>
      <w:r>
        <w:rPr>
          <w:lang w:val="fr-FR"/>
        </w:rPr>
        <w:t>le</w:t>
      </w:r>
      <w:proofErr w:type="gramEnd"/>
      <w:r>
        <w:rPr>
          <w:lang w:val="fr-FR"/>
        </w:rPr>
        <w:t xml:space="preserve"> fichier des coûts du projet « 4. Couts projet-nom projet » dûment rempli au format </w:t>
      </w:r>
      <w:proofErr w:type="spellStart"/>
      <w:r>
        <w:rPr>
          <w:lang w:val="fr-FR"/>
        </w:rPr>
        <w:t>excel</w:t>
      </w:r>
      <w:proofErr w:type="spellEnd"/>
      <w:r>
        <w:rPr>
          <w:lang w:val="fr-FR"/>
        </w:rPr>
        <w:t>,</w:t>
      </w:r>
    </w:p>
    <w:p w14:paraId="49C95643" w14:textId="77777777" w:rsidR="00060E28" w:rsidRDefault="00AE66FF">
      <w:pPr>
        <w:numPr>
          <w:ilvl w:val="0"/>
          <w:numId w:val="39"/>
        </w:numPr>
        <w:jc w:val="both"/>
      </w:pPr>
      <w:r>
        <w:rPr>
          <w:lang w:val="fr-FR"/>
        </w:rPr>
        <w:t>Pour chaque partenaire du consortium, les éléments administratifs suivants :</w:t>
      </w:r>
    </w:p>
    <w:p w14:paraId="4BFF1C7C" w14:textId="77777777" w:rsidR="00060E28" w:rsidRDefault="00AE66FF">
      <w:pPr>
        <w:numPr>
          <w:ilvl w:val="1"/>
          <w:numId w:val="39"/>
        </w:numPr>
        <w:jc w:val="both"/>
      </w:pPr>
      <w:proofErr w:type="gramStart"/>
      <w:r>
        <w:rPr>
          <w:lang w:val="fr-FR"/>
        </w:rPr>
        <w:t>la</w:t>
      </w:r>
      <w:proofErr w:type="gramEnd"/>
      <w:r>
        <w:rPr>
          <w:lang w:val="fr-FR"/>
        </w:rPr>
        <w:t xml:space="preserve"> déclaration sur l’honneur relative aux exclusions (interdictions de soumissionner),</w:t>
      </w:r>
    </w:p>
    <w:p w14:paraId="14F49A37" w14:textId="77777777" w:rsidR="00060E28" w:rsidRDefault="00AE66FF">
      <w:pPr>
        <w:numPr>
          <w:ilvl w:val="1"/>
          <w:numId w:val="39"/>
        </w:numPr>
        <w:jc w:val="both"/>
      </w:pPr>
      <w:proofErr w:type="gramStart"/>
      <w:r>
        <w:rPr>
          <w:lang w:val="fr-FR"/>
        </w:rPr>
        <w:t>les</w:t>
      </w:r>
      <w:proofErr w:type="gramEnd"/>
      <w:r>
        <w:rPr>
          <w:lang w:val="fr-FR"/>
        </w:rPr>
        <w:t xml:space="preserve"> documents et renseignements permettant de vérifier l'aptitude de l'entreprise à exercer l'activité professionnelle, sa capacité économique et financière ainsi que ses capacités techniques et professionnelles. L'entreprise peut s'appuyer sur des sous-traitants ou autres formes juridiques,</w:t>
      </w:r>
    </w:p>
    <w:p w14:paraId="06CCE94E" w14:textId="77777777" w:rsidR="00060E28" w:rsidRDefault="00AE66FF">
      <w:pPr>
        <w:numPr>
          <w:ilvl w:val="1"/>
          <w:numId w:val="39"/>
        </w:numPr>
        <w:jc w:val="both"/>
      </w:pPr>
      <w:proofErr w:type="gramStart"/>
      <w:r>
        <w:rPr>
          <w:lang w:val="fr-FR"/>
        </w:rPr>
        <w:t>une</w:t>
      </w:r>
      <w:proofErr w:type="gramEnd"/>
      <w:r>
        <w:rPr>
          <w:lang w:val="fr-FR"/>
        </w:rPr>
        <w:t xml:space="preserve"> déclaration du chiffre d’affaires de l'entreprise pour les trois derniers</w:t>
      </w:r>
    </w:p>
    <w:p w14:paraId="7E1F0716" w14:textId="77777777" w:rsidR="00060E28" w:rsidRDefault="00AE66FF">
      <w:pPr>
        <w:numPr>
          <w:ilvl w:val="1"/>
          <w:numId w:val="39"/>
        </w:numPr>
        <w:jc w:val="both"/>
      </w:pPr>
      <w:proofErr w:type="gramStart"/>
      <w:r>
        <w:rPr>
          <w:lang w:val="fr-FR"/>
        </w:rPr>
        <w:t>une</w:t>
      </w:r>
      <w:proofErr w:type="gramEnd"/>
      <w:r>
        <w:rPr>
          <w:lang w:val="fr-FR"/>
        </w:rPr>
        <w:t xml:space="preserve"> déclaration appropriée de banques ou preuve d’une assurance pour les risques professionnels,</w:t>
      </w:r>
    </w:p>
    <w:p w14:paraId="075FC836" w14:textId="77777777" w:rsidR="00060E28" w:rsidRDefault="00AE66FF">
      <w:pPr>
        <w:numPr>
          <w:ilvl w:val="1"/>
          <w:numId w:val="39"/>
        </w:numPr>
        <w:jc w:val="both"/>
      </w:pPr>
      <w:proofErr w:type="gramStart"/>
      <w:r>
        <w:rPr>
          <w:lang w:val="fr-FR"/>
        </w:rPr>
        <w:t>l’effectif</w:t>
      </w:r>
      <w:proofErr w:type="gramEnd"/>
      <w:r>
        <w:rPr>
          <w:lang w:val="fr-FR"/>
        </w:rPr>
        <w:t xml:space="preserve"> moyen annuel pendant les trois dernières années</w:t>
      </w:r>
    </w:p>
    <w:p w14:paraId="009084C8" w14:textId="77777777" w:rsidR="00060E28" w:rsidRDefault="00AE66FF">
      <w:pPr>
        <w:numPr>
          <w:ilvl w:val="0"/>
          <w:numId w:val="39"/>
        </w:numPr>
        <w:jc w:val="both"/>
        <w:rPr>
          <w:lang w:val="fr-FR"/>
        </w:rPr>
      </w:pPr>
      <w:r>
        <w:rPr>
          <w:lang w:val="fr-FR"/>
        </w:rPr>
        <w:t>Le RIB du porteur de projet ou de chaque bénéficiaire.</w:t>
      </w:r>
    </w:p>
    <w:p w14:paraId="434292DF" w14:textId="77777777" w:rsidR="00060E28" w:rsidRDefault="00060E28">
      <w:pPr>
        <w:jc w:val="both"/>
      </w:pPr>
    </w:p>
    <w:p w14:paraId="6C0940EA" w14:textId="77777777" w:rsidR="00060E28" w:rsidRDefault="00AE66FF">
      <w:pPr>
        <w:jc w:val="both"/>
      </w:pPr>
      <w:r>
        <w:rPr>
          <w:b/>
          <w:lang w:val="fr-FR"/>
        </w:rPr>
        <w:t>NB : Les fichiers seront nommés en remplaçant la partie « nom projet » du nom du fichier téléchargé par le vrai nom du projet présenté.</w:t>
      </w:r>
    </w:p>
    <w:p w14:paraId="3A0C3663" w14:textId="77777777" w:rsidR="00060E28" w:rsidRDefault="00060E28">
      <w:pPr>
        <w:jc w:val="both"/>
      </w:pPr>
    </w:p>
    <w:p w14:paraId="018F44AB" w14:textId="77777777" w:rsidR="00060E28" w:rsidRDefault="00AE66FF">
      <w:pPr>
        <w:jc w:val="both"/>
        <w:rPr>
          <w:b/>
          <w:lang w:val="fr-FR"/>
        </w:rPr>
      </w:pPr>
      <w:r>
        <w:rPr>
          <w:b/>
          <w:lang w:val="fr-FR"/>
        </w:rPr>
        <w:t>Seuls les dossiers complets pourront être retenus.</w:t>
      </w:r>
    </w:p>
    <w:p w14:paraId="7049F948" w14:textId="77777777" w:rsidR="00060E28" w:rsidRDefault="00060E28">
      <w:pPr>
        <w:pageBreakBefore/>
        <w:suppressAutoHyphens w:val="0"/>
        <w:jc w:val="both"/>
        <w:rPr>
          <w:b/>
          <w:lang w:val="fr-FR"/>
        </w:rPr>
      </w:pPr>
    </w:p>
    <w:p w14:paraId="60ED42F4" w14:textId="77777777" w:rsidR="00060E28" w:rsidRDefault="00AE66FF" w:rsidP="000A499E">
      <w:pPr>
        <w:pStyle w:val="Style2"/>
        <w:numPr>
          <w:ilvl w:val="1"/>
          <w:numId w:val="60"/>
        </w:numPr>
      </w:pPr>
      <w:bookmarkStart w:id="71" w:name="__RefHeading___Toc13975_3040839714"/>
      <w:bookmarkStart w:id="72" w:name="_Toc15"/>
      <w:bookmarkStart w:id="73" w:name="_Toc97630294"/>
      <w:bookmarkStart w:id="74" w:name="_Toc97665339"/>
      <w:bookmarkStart w:id="75" w:name="_Toc100582416"/>
      <w:r>
        <w:rPr>
          <w:lang w:val="fr-FR"/>
        </w:rPr>
        <w:t>Déroulement de la sélection</w:t>
      </w:r>
      <w:bookmarkEnd w:id="71"/>
      <w:bookmarkEnd w:id="72"/>
      <w:bookmarkEnd w:id="73"/>
      <w:bookmarkEnd w:id="74"/>
      <w:bookmarkEnd w:id="75"/>
    </w:p>
    <w:p w14:paraId="092E8381" w14:textId="77777777" w:rsidR="00060E28" w:rsidRDefault="00060E28"/>
    <w:p w14:paraId="58779ED0" w14:textId="77777777" w:rsidR="00060E28" w:rsidRDefault="00AE66FF">
      <w:pPr>
        <w:jc w:val="both"/>
      </w:pPr>
      <w:r>
        <w:rPr>
          <w:lang w:val="fr-FR"/>
        </w:rPr>
        <w:t>Les dossiers recevables feront l’objet d’une audition.</w:t>
      </w:r>
    </w:p>
    <w:p w14:paraId="00147F30" w14:textId="77777777" w:rsidR="00060E28" w:rsidRDefault="00060E28">
      <w:pPr>
        <w:jc w:val="both"/>
      </w:pPr>
    </w:p>
    <w:p w14:paraId="2D5FFDF3" w14:textId="77777777" w:rsidR="00060E28" w:rsidRDefault="00AE66FF">
      <w:pPr>
        <w:jc w:val="both"/>
      </w:pPr>
      <w:r>
        <w:rPr>
          <w:lang w:val="fr-FR"/>
        </w:rPr>
        <w:t>Le coordonnateur (dans le cas d’un consortium) ou le porteur du projet (dans le cas d’un projet mono-partenaire)</w:t>
      </w:r>
    </w:p>
    <w:p w14:paraId="569E1EE1" w14:textId="77777777" w:rsidR="00060E28" w:rsidRDefault="00AE66FF">
      <w:pPr>
        <w:jc w:val="both"/>
      </w:pPr>
      <w:proofErr w:type="gramStart"/>
      <w:r>
        <w:rPr>
          <w:lang w:val="fr-FR"/>
        </w:rPr>
        <w:t>sera</w:t>
      </w:r>
      <w:proofErr w:type="gramEnd"/>
      <w:r>
        <w:rPr>
          <w:lang w:val="fr-FR"/>
        </w:rPr>
        <w:t xml:space="preserve"> convoqué pour une audition dont les modalités seront exposées ultérieurement.</w:t>
      </w:r>
    </w:p>
    <w:p w14:paraId="0B138FC8" w14:textId="77777777" w:rsidR="00060E28" w:rsidRDefault="00060E28">
      <w:pPr>
        <w:jc w:val="both"/>
      </w:pPr>
    </w:p>
    <w:p w14:paraId="087FB0AB" w14:textId="77777777" w:rsidR="00060E28" w:rsidRDefault="00AE66FF">
      <w:pPr>
        <w:jc w:val="both"/>
      </w:pPr>
      <w:r>
        <w:rPr>
          <w:lang w:val="fr-FR"/>
        </w:rPr>
        <w:t xml:space="preserve">Le jury sera composé de représentants de la Région Bretagne et du </w:t>
      </w:r>
      <w:proofErr w:type="spellStart"/>
      <w:r>
        <w:rPr>
          <w:lang w:val="fr-FR"/>
        </w:rPr>
        <w:t>Cerema</w:t>
      </w:r>
      <w:proofErr w:type="spellEnd"/>
      <w:r>
        <w:rPr>
          <w:lang w:val="fr-FR"/>
        </w:rPr>
        <w:t>.</w:t>
      </w:r>
    </w:p>
    <w:p w14:paraId="25A94EC3" w14:textId="77777777" w:rsidR="00060E28" w:rsidRDefault="00060E28">
      <w:pPr>
        <w:jc w:val="both"/>
      </w:pPr>
    </w:p>
    <w:p w14:paraId="6B3F62FB" w14:textId="77777777" w:rsidR="00060E28" w:rsidRDefault="00AE66FF">
      <w:pPr>
        <w:jc w:val="both"/>
      </w:pPr>
      <w:r>
        <w:rPr>
          <w:lang w:val="fr-FR"/>
        </w:rPr>
        <w:t>Le jury se réserve le droit de faire appel à l’avis d’experts externes. Les décisions du jury seront sans appel.</w:t>
      </w:r>
    </w:p>
    <w:p w14:paraId="79C536B5" w14:textId="77777777" w:rsidR="00060E28" w:rsidRDefault="00060E28">
      <w:pPr>
        <w:jc w:val="both"/>
      </w:pPr>
    </w:p>
    <w:p w14:paraId="1DD0C3F4" w14:textId="77777777" w:rsidR="00060E28" w:rsidRDefault="00AE66FF">
      <w:pPr>
        <w:jc w:val="both"/>
      </w:pPr>
      <w:r>
        <w:rPr>
          <w:lang w:val="fr-FR"/>
        </w:rPr>
        <w:t>Le jury retiendra au maximum entre trois et six projets, couvrant si possible les différents sujets évoqués.</w:t>
      </w:r>
    </w:p>
    <w:p w14:paraId="6CFA2767" w14:textId="77777777" w:rsidR="00060E28" w:rsidRDefault="00060E28">
      <w:pPr>
        <w:jc w:val="both"/>
      </w:pPr>
    </w:p>
    <w:p w14:paraId="53C68A5C" w14:textId="77777777" w:rsidR="00060E28" w:rsidRDefault="00AE66FF">
      <w:pPr>
        <w:jc w:val="both"/>
      </w:pPr>
      <w:r>
        <w:rPr>
          <w:lang w:val="fr-FR"/>
        </w:rPr>
        <w:t>Les projets seront sélectionnés selon les critères suivants :</w:t>
      </w:r>
    </w:p>
    <w:p w14:paraId="02B6D3A7" w14:textId="77777777" w:rsidR="00060E28" w:rsidRDefault="00060E28">
      <w:pPr>
        <w:jc w:val="both"/>
      </w:pPr>
    </w:p>
    <w:p w14:paraId="3AE2542F" w14:textId="77777777" w:rsidR="00060E28" w:rsidRDefault="00AE66FF">
      <w:pPr>
        <w:jc w:val="both"/>
      </w:pPr>
      <w:r>
        <w:rPr>
          <w:b/>
          <w:lang w:val="fr-FR"/>
        </w:rPr>
        <w:t>1) Pertinence au regard des orientations de l’appel à projets (note sur 10)</w:t>
      </w:r>
    </w:p>
    <w:p w14:paraId="17C4507E" w14:textId="77777777" w:rsidR="00060E28" w:rsidRDefault="00060E28">
      <w:pPr>
        <w:jc w:val="both"/>
      </w:pPr>
    </w:p>
    <w:p w14:paraId="6150ABD7" w14:textId="77777777" w:rsidR="00060E28" w:rsidRDefault="00AE66FF">
      <w:pPr>
        <w:numPr>
          <w:ilvl w:val="0"/>
          <w:numId w:val="40"/>
        </w:numPr>
        <w:jc w:val="both"/>
      </w:pPr>
      <w:r>
        <w:rPr>
          <w:lang w:val="fr-FR"/>
        </w:rPr>
        <w:t>Adéquation de la proposition aux objectifs ;</w:t>
      </w:r>
    </w:p>
    <w:p w14:paraId="6EDD4E8A" w14:textId="77777777" w:rsidR="00060E28" w:rsidRDefault="00AE66FF">
      <w:pPr>
        <w:numPr>
          <w:ilvl w:val="0"/>
          <w:numId w:val="40"/>
        </w:numPr>
        <w:jc w:val="both"/>
      </w:pPr>
      <w:r>
        <w:rPr>
          <w:lang w:val="fr-FR"/>
        </w:rPr>
        <w:t>Qualité de la proposition en termes de créativité scientifique, d’innovation, de développement économique ;</w:t>
      </w:r>
    </w:p>
    <w:p w14:paraId="3B1AF281" w14:textId="77777777" w:rsidR="00060E28" w:rsidRDefault="00AE66FF">
      <w:pPr>
        <w:numPr>
          <w:ilvl w:val="0"/>
          <w:numId w:val="40"/>
        </w:numPr>
        <w:jc w:val="both"/>
      </w:pPr>
      <w:r>
        <w:rPr>
          <w:lang w:val="fr-FR"/>
        </w:rPr>
        <w:t>Pertinence du projet au regard de la problématique de la corrosion du béton armé en environnement maritime ;</w:t>
      </w:r>
    </w:p>
    <w:p w14:paraId="13D607C6" w14:textId="77777777" w:rsidR="00060E28" w:rsidRDefault="00AE66FF">
      <w:pPr>
        <w:numPr>
          <w:ilvl w:val="0"/>
          <w:numId w:val="40"/>
        </w:numPr>
        <w:jc w:val="both"/>
      </w:pPr>
      <w:r>
        <w:rPr>
          <w:lang w:val="fr-FR"/>
        </w:rPr>
        <w:t>Prise en compte des contraintes liées à la gestion d’une infrastructure portuaire ;</w:t>
      </w:r>
    </w:p>
    <w:p w14:paraId="14F4E04B" w14:textId="77777777" w:rsidR="00060E28" w:rsidRDefault="00AE66FF">
      <w:pPr>
        <w:numPr>
          <w:ilvl w:val="0"/>
          <w:numId w:val="40"/>
        </w:numPr>
        <w:jc w:val="both"/>
      </w:pPr>
      <w:r>
        <w:rPr>
          <w:lang w:val="fr-FR"/>
        </w:rPr>
        <w:t>Démarche de validation proposée ;</w:t>
      </w:r>
    </w:p>
    <w:p w14:paraId="114D5AEA" w14:textId="77777777" w:rsidR="00060E28" w:rsidRDefault="00AE66FF">
      <w:pPr>
        <w:numPr>
          <w:ilvl w:val="0"/>
          <w:numId w:val="40"/>
        </w:numPr>
        <w:jc w:val="both"/>
      </w:pPr>
      <w:r>
        <w:rPr>
          <w:lang w:val="fr-FR"/>
        </w:rPr>
        <w:t>Pertinence de l’indice TRL proposé (</w:t>
      </w:r>
      <w:proofErr w:type="spellStart"/>
      <w:r>
        <w:rPr>
          <w:lang w:val="fr-FR"/>
        </w:rPr>
        <w:t>Technology</w:t>
      </w:r>
      <w:proofErr w:type="spellEnd"/>
      <w:r>
        <w:rPr>
          <w:lang w:val="fr-FR"/>
        </w:rPr>
        <w:t xml:space="preserve"> </w:t>
      </w:r>
      <w:proofErr w:type="spellStart"/>
      <w:r>
        <w:rPr>
          <w:lang w:val="fr-FR"/>
        </w:rPr>
        <w:t>Readiness</w:t>
      </w:r>
      <w:proofErr w:type="spellEnd"/>
      <w:r>
        <w:rPr>
          <w:lang w:val="fr-FR"/>
        </w:rPr>
        <w:t xml:space="preserve"> </w:t>
      </w:r>
      <w:proofErr w:type="spellStart"/>
      <w:r>
        <w:rPr>
          <w:lang w:val="fr-FR"/>
        </w:rPr>
        <w:t>Level</w:t>
      </w:r>
      <w:proofErr w:type="spellEnd"/>
      <w:r>
        <w:rPr>
          <w:lang w:val="fr-FR"/>
        </w:rPr>
        <w:t>), incrément de l’indice TRL dans le cadre du projet.</w:t>
      </w:r>
    </w:p>
    <w:p w14:paraId="5FA5894A" w14:textId="77777777" w:rsidR="00060E28" w:rsidRDefault="00060E28">
      <w:pPr>
        <w:jc w:val="both"/>
      </w:pPr>
    </w:p>
    <w:p w14:paraId="6C90C441" w14:textId="77777777" w:rsidR="00060E28" w:rsidRDefault="00AE66FF">
      <w:pPr>
        <w:jc w:val="both"/>
      </w:pPr>
      <w:r>
        <w:rPr>
          <w:b/>
          <w:lang w:val="fr-FR"/>
        </w:rPr>
        <w:t>2) Qualité du partenariat et de l’organisation du projet (note sur 5)</w:t>
      </w:r>
    </w:p>
    <w:p w14:paraId="08C5F2CB" w14:textId="77777777" w:rsidR="00060E28" w:rsidRDefault="00060E28">
      <w:pPr>
        <w:jc w:val="both"/>
      </w:pPr>
    </w:p>
    <w:p w14:paraId="2D000EEB" w14:textId="77777777" w:rsidR="00060E28" w:rsidRDefault="00AE66FF">
      <w:pPr>
        <w:numPr>
          <w:ilvl w:val="0"/>
          <w:numId w:val="41"/>
        </w:numPr>
        <w:jc w:val="both"/>
      </w:pPr>
      <w:r>
        <w:rPr>
          <w:lang w:val="fr-FR"/>
        </w:rPr>
        <w:t>Apports, compétences, savoir-faire et qualification des partenaires ;</w:t>
      </w:r>
    </w:p>
    <w:p w14:paraId="7649178C" w14:textId="77777777" w:rsidR="00060E28" w:rsidRDefault="00AE66FF">
      <w:pPr>
        <w:numPr>
          <w:ilvl w:val="0"/>
          <w:numId w:val="41"/>
        </w:numPr>
        <w:jc w:val="both"/>
      </w:pPr>
      <w:r>
        <w:rPr>
          <w:lang w:val="fr-FR"/>
        </w:rPr>
        <w:t>Ambitions et engagement des partenaires, implication de leurs personnels ;</w:t>
      </w:r>
    </w:p>
    <w:p w14:paraId="6D194F51" w14:textId="77777777" w:rsidR="00060E28" w:rsidRDefault="00AE66FF">
      <w:pPr>
        <w:numPr>
          <w:ilvl w:val="0"/>
          <w:numId w:val="41"/>
        </w:numPr>
        <w:jc w:val="both"/>
      </w:pPr>
      <w:r>
        <w:rPr>
          <w:lang w:val="fr-FR"/>
        </w:rPr>
        <w:t>Qualité des matériels disponibles ;</w:t>
      </w:r>
    </w:p>
    <w:p w14:paraId="7F04C132" w14:textId="77777777" w:rsidR="00060E28" w:rsidRDefault="00AE66FF">
      <w:pPr>
        <w:numPr>
          <w:ilvl w:val="0"/>
          <w:numId w:val="41"/>
        </w:numPr>
        <w:jc w:val="both"/>
      </w:pPr>
      <w:r>
        <w:rPr>
          <w:lang w:val="fr-FR"/>
        </w:rPr>
        <w:t>Equilibre et complémentarités au sein du consortium ;</w:t>
      </w:r>
    </w:p>
    <w:p w14:paraId="74749538" w14:textId="77777777" w:rsidR="00060E28" w:rsidRDefault="00AE66FF">
      <w:pPr>
        <w:numPr>
          <w:ilvl w:val="0"/>
          <w:numId w:val="41"/>
        </w:numPr>
        <w:jc w:val="both"/>
      </w:pPr>
      <w:r>
        <w:rPr>
          <w:lang w:val="fr-FR"/>
        </w:rPr>
        <w:t>Management et coordination, qualité de la gouvernance ;</w:t>
      </w:r>
    </w:p>
    <w:p w14:paraId="378D8180" w14:textId="77777777" w:rsidR="00060E28" w:rsidRDefault="00AE66FF">
      <w:pPr>
        <w:numPr>
          <w:ilvl w:val="0"/>
          <w:numId w:val="41"/>
        </w:numPr>
        <w:jc w:val="both"/>
      </w:pPr>
      <w:r>
        <w:rPr>
          <w:lang w:val="fr-FR"/>
        </w:rPr>
        <w:t>Pertinence de l’organisation des tâches et du calendrier.</w:t>
      </w:r>
    </w:p>
    <w:p w14:paraId="4AADE497" w14:textId="77777777" w:rsidR="00060E28" w:rsidRDefault="00060E28">
      <w:pPr>
        <w:jc w:val="both"/>
      </w:pPr>
    </w:p>
    <w:p w14:paraId="0C274D93" w14:textId="77777777" w:rsidR="00060E28" w:rsidRDefault="00AE66FF">
      <w:pPr>
        <w:jc w:val="both"/>
      </w:pPr>
      <w:r>
        <w:rPr>
          <w:b/>
          <w:lang w:val="fr-FR"/>
        </w:rPr>
        <w:t>3) Bénéfice collectif (note sur 5)</w:t>
      </w:r>
    </w:p>
    <w:p w14:paraId="5AD7B646" w14:textId="77777777" w:rsidR="00060E28" w:rsidRDefault="00060E28">
      <w:pPr>
        <w:jc w:val="both"/>
      </w:pPr>
    </w:p>
    <w:p w14:paraId="20788C46" w14:textId="77777777" w:rsidR="00060E28" w:rsidRDefault="00AE66FF">
      <w:pPr>
        <w:numPr>
          <w:ilvl w:val="0"/>
          <w:numId w:val="42"/>
        </w:numPr>
        <w:jc w:val="both"/>
      </w:pPr>
      <w:r>
        <w:rPr>
          <w:lang w:val="fr-FR"/>
        </w:rPr>
        <w:t>Maturité du projet à l’issue des développements financés ;</w:t>
      </w:r>
    </w:p>
    <w:p w14:paraId="4BAA2209" w14:textId="77777777" w:rsidR="00060E28" w:rsidRDefault="00AE66FF">
      <w:pPr>
        <w:numPr>
          <w:ilvl w:val="0"/>
          <w:numId w:val="42"/>
        </w:numPr>
        <w:jc w:val="both"/>
      </w:pPr>
      <w:r>
        <w:rPr>
          <w:lang w:val="fr-FR"/>
        </w:rPr>
        <w:t>Méthodes et résultats permettant une amélioration des politiques de gestion ;</w:t>
      </w:r>
    </w:p>
    <w:p w14:paraId="58E88D7B" w14:textId="77777777" w:rsidR="00060E28" w:rsidRDefault="00AE66FF">
      <w:pPr>
        <w:numPr>
          <w:ilvl w:val="0"/>
          <w:numId w:val="42"/>
        </w:numPr>
        <w:jc w:val="both"/>
      </w:pPr>
      <w:r>
        <w:rPr>
          <w:lang w:val="fr-FR"/>
        </w:rPr>
        <w:t>Gains économiques et sociétaux en matière de gestion de patrimoine ;</w:t>
      </w:r>
    </w:p>
    <w:p w14:paraId="6C889C32" w14:textId="77777777" w:rsidR="00060E28" w:rsidRDefault="00AE66FF">
      <w:pPr>
        <w:numPr>
          <w:ilvl w:val="0"/>
          <w:numId w:val="42"/>
        </w:numPr>
        <w:jc w:val="both"/>
      </w:pPr>
      <w:r>
        <w:rPr>
          <w:lang w:val="fr-FR"/>
        </w:rPr>
        <w:t>Coût prévisionnel de la mise en œuvre opérationnelle sur un ouvrage du dispositif ou de la méthode développé (intégrant la mise en œuvre initiale et la maintenance, le matériel, le personnel, les moyens d’accès, l’alimentation…).</w:t>
      </w:r>
    </w:p>
    <w:p w14:paraId="4FDD1550" w14:textId="77777777" w:rsidR="00060E28" w:rsidRDefault="00060E28">
      <w:pPr>
        <w:jc w:val="both"/>
      </w:pPr>
    </w:p>
    <w:p w14:paraId="6F876E4F" w14:textId="77777777" w:rsidR="00060E28" w:rsidRDefault="00AE66FF">
      <w:pPr>
        <w:jc w:val="both"/>
      </w:pPr>
      <w:r>
        <w:rPr>
          <w:lang w:val="fr-FR"/>
        </w:rPr>
        <w:t>Les projets seront notés suivant les critères énoncés ci-dessus, ce qui permettra de réaliser un 1</w:t>
      </w:r>
      <w:r>
        <w:rPr>
          <w:position w:val="7"/>
          <w:lang w:val="fr-FR"/>
        </w:rPr>
        <w:t>er</w:t>
      </w:r>
      <w:r>
        <w:rPr>
          <w:lang w:val="fr-FR"/>
        </w:rPr>
        <w:t xml:space="preserve"> classement général.</w:t>
      </w:r>
    </w:p>
    <w:p w14:paraId="399FBB25" w14:textId="77777777" w:rsidR="00060E28" w:rsidRDefault="00AE66FF">
      <w:pPr>
        <w:jc w:val="both"/>
      </w:pPr>
      <w:r>
        <w:rPr>
          <w:lang w:val="fr-FR"/>
        </w:rPr>
        <w:t>La sélection finale s’effectuera de la façon suivante :</w:t>
      </w:r>
    </w:p>
    <w:p w14:paraId="3FDB4A64" w14:textId="77777777" w:rsidR="00060E28" w:rsidRDefault="00AE66FF">
      <w:pPr>
        <w:pStyle w:val="Paragraphedeliste"/>
        <w:numPr>
          <w:ilvl w:val="0"/>
          <w:numId w:val="43"/>
        </w:numPr>
        <w:jc w:val="both"/>
      </w:pPr>
      <w:r>
        <w:rPr>
          <w:lang w:val="fr-FR"/>
        </w:rPr>
        <w:t>Sélection du meilleur candidat de chaque thématique obligatoire (Suivi de la phase d’incubation ou de propagation),</w:t>
      </w:r>
    </w:p>
    <w:p w14:paraId="5AC1B0E6" w14:textId="77777777" w:rsidR="00060E28" w:rsidRDefault="00AE66FF">
      <w:pPr>
        <w:pStyle w:val="Paragraphedeliste"/>
        <w:numPr>
          <w:ilvl w:val="0"/>
          <w:numId w:val="43"/>
        </w:numPr>
        <w:jc w:val="both"/>
      </w:pPr>
      <w:r>
        <w:rPr>
          <w:lang w:val="fr-FR"/>
        </w:rPr>
        <w:t>Puis sélection des candidats par ordre de notation jusqu’à atteindre le montant enveloppe maximal de 300 000 € HT ou 6 projets.</w:t>
      </w:r>
    </w:p>
    <w:p w14:paraId="53AC47D6" w14:textId="77777777" w:rsidR="00060E28" w:rsidRDefault="00AE66FF">
      <w:pPr>
        <w:pStyle w:val="Paragraphedeliste"/>
        <w:numPr>
          <w:ilvl w:val="0"/>
          <w:numId w:val="43"/>
        </w:numPr>
        <w:jc w:val="both"/>
      </w:pPr>
      <w:r>
        <w:rPr>
          <w:lang w:val="fr-FR"/>
        </w:rPr>
        <w:t>Note éliminatoire : 8/20</w:t>
      </w:r>
    </w:p>
    <w:p w14:paraId="134CC63F" w14:textId="77777777" w:rsidR="00060E28" w:rsidRDefault="00060E28"/>
    <w:p w14:paraId="035E08C7" w14:textId="77777777" w:rsidR="00060E28" w:rsidRDefault="00060E28">
      <w:pPr>
        <w:pageBreakBefore/>
        <w:suppressAutoHyphens w:val="0"/>
      </w:pPr>
    </w:p>
    <w:p w14:paraId="49835C03" w14:textId="77777777" w:rsidR="00060E28" w:rsidRDefault="00AE66FF">
      <w:r>
        <w:rPr>
          <w:lang w:val="fr-FR"/>
        </w:rPr>
        <w:t>Illustration</w:t>
      </w:r>
    </w:p>
    <w:p w14:paraId="4F6DAEE3" w14:textId="77777777" w:rsidR="00060E28" w:rsidRDefault="00060E28"/>
    <w:p w14:paraId="3DDB2577" w14:textId="77777777" w:rsidR="00060E28" w:rsidRDefault="00AE66FF">
      <w:r>
        <w:rPr>
          <w:lang w:val="fr-FR"/>
        </w:rPr>
        <w:t>Classement provisoire :</w:t>
      </w:r>
    </w:p>
    <w:p w14:paraId="1B390865" w14:textId="77777777" w:rsidR="00060E28" w:rsidRDefault="00060E28"/>
    <w:p w14:paraId="7603CD13" w14:textId="77777777" w:rsidR="00060E28" w:rsidRDefault="00AE66FF">
      <w:r>
        <w:rPr>
          <w:lang w:val="fr-FR"/>
        </w:rPr>
        <w:t>Projet 1 Note 16 – 75 000,00€ – Suivi de la phase d’incubation</w:t>
      </w:r>
    </w:p>
    <w:p w14:paraId="0ADF4F90" w14:textId="77777777" w:rsidR="00060E28" w:rsidRDefault="00AE66FF">
      <w:r>
        <w:rPr>
          <w:lang w:val="fr-FR"/>
        </w:rPr>
        <w:t>Projet 4 Note 15 – 30 000,00€ – Suivi de la phase d’incubation</w:t>
      </w:r>
    </w:p>
    <w:p w14:paraId="33FBEBF4" w14:textId="77777777" w:rsidR="00060E28" w:rsidRDefault="00AE66FF">
      <w:r>
        <w:rPr>
          <w:lang w:val="fr-FR"/>
        </w:rPr>
        <w:t>Projet 2 Note 13 – 120 000,00€ – Suivi de la phase de la propagation</w:t>
      </w:r>
    </w:p>
    <w:p w14:paraId="6297C2A9" w14:textId="77777777" w:rsidR="00060E28" w:rsidRDefault="00AE66FF">
      <w:r>
        <w:rPr>
          <w:lang w:val="fr-FR"/>
        </w:rPr>
        <w:t>Projet 3 Note 12 – 80 000,00€ – Suivi de la phase d’incubation</w:t>
      </w:r>
    </w:p>
    <w:p w14:paraId="7313B11F" w14:textId="77777777" w:rsidR="00060E28" w:rsidRDefault="00AE66FF">
      <w:r>
        <w:rPr>
          <w:lang w:val="fr-FR"/>
        </w:rPr>
        <w:t>Projet 5 Note 10 – 45 000,00€ – Suivi de la phase de la propagation</w:t>
      </w:r>
    </w:p>
    <w:p w14:paraId="557EE966" w14:textId="77777777" w:rsidR="00060E28" w:rsidRDefault="00AE66FF">
      <w:r>
        <w:rPr>
          <w:lang w:val="fr-FR"/>
        </w:rPr>
        <w:t>Projet 6 Note 8 – 20 000,00€ – Suivi de la phase de la propagation</w:t>
      </w:r>
    </w:p>
    <w:p w14:paraId="00CCC0B4" w14:textId="77777777" w:rsidR="00060E28" w:rsidRDefault="00060E28"/>
    <w:p w14:paraId="4A097A47" w14:textId="77777777" w:rsidR="00060E28" w:rsidRDefault="00060E28"/>
    <w:p w14:paraId="68A4DB2C" w14:textId="77777777" w:rsidR="00060E28" w:rsidRDefault="00060E28"/>
    <w:p w14:paraId="17790313" w14:textId="77777777" w:rsidR="00060E28" w:rsidRDefault="00AE66FF">
      <w:r>
        <w:rPr>
          <w:lang w:val="fr-FR"/>
        </w:rPr>
        <w:t>Sélection :</w:t>
      </w:r>
    </w:p>
    <w:p w14:paraId="1877AC72" w14:textId="77777777" w:rsidR="00060E28" w:rsidRDefault="00060E28"/>
    <w:tbl>
      <w:tblPr>
        <w:tblW w:w="10659" w:type="dxa"/>
        <w:tblInd w:w="-431" w:type="dxa"/>
        <w:tblLayout w:type="fixed"/>
        <w:tblCellMar>
          <w:left w:w="10" w:type="dxa"/>
          <w:right w:w="10" w:type="dxa"/>
        </w:tblCellMar>
        <w:tblLook w:val="04A0" w:firstRow="1" w:lastRow="0" w:firstColumn="1" w:lastColumn="0" w:noHBand="0" w:noVBand="1"/>
      </w:tblPr>
      <w:tblGrid>
        <w:gridCol w:w="1135"/>
        <w:gridCol w:w="1418"/>
        <w:gridCol w:w="708"/>
        <w:gridCol w:w="1276"/>
        <w:gridCol w:w="1418"/>
        <w:gridCol w:w="1275"/>
        <w:gridCol w:w="1276"/>
        <w:gridCol w:w="992"/>
        <w:gridCol w:w="1161"/>
      </w:tblGrid>
      <w:tr w:rsidR="00060E28" w14:paraId="55A7725D" w14:textId="7777777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F6243" w14:textId="77777777" w:rsidR="00060E28" w:rsidRDefault="00AE66FF">
            <w:pPr>
              <w:pStyle w:val="Paragraphedeliste"/>
              <w:jc w:val="center"/>
            </w:pPr>
            <w:r>
              <w:rPr>
                <w:lang w:val="fr-FR"/>
              </w:rPr>
              <w:t>Sélection</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097DCE" w14:textId="77777777" w:rsidR="00060E28" w:rsidRDefault="00AE66FF">
            <w:pPr>
              <w:pStyle w:val="Paragraphedeliste"/>
              <w:jc w:val="center"/>
            </w:pPr>
            <w:r>
              <w:rPr>
                <w:lang w:val="fr-FR"/>
              </w:rPr>
              <w:t>Thématique</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2C1D08" w14:textId="77777777" w:rsidR="00060E28" w:rsidRDefault="00AE66FF">
            <w:pPr>
              <w:pStyle w:val="Paragraphedeliste"/>
              <w:jc w:val="center"/>
            </w:pPr>
            <w:r>
              <w:rPr>
                <w:lang w:val="fr-FR"/>
              </w:rPr>
              <w:t>Note</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62838A" w14:textId="77777777" w:rsidR="00060E28" w:rsidRDefault="00AE66FF">
            <w:pPr>
              <w:pStyle w:val="Paragraphedeliste"/>
              <w:jc w:val="center"/>
            </w:pPr>
            <w:r>
              <w:rPr>
                <w:lang w:val="fr-FR"/>
              </w:rPr>
              <w:t>Respect note</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D117C" w14:textId="77777777" w:rsidR="00060E28" w:rsidRDefault="00AE66FF">
            <w:pPr>
              <w:pStyle w:val="Paragraphedeliste"/>
              <w:jc w:val="center"/>
            </w:pPr>
            <w:r>
              <w:rPr>
                <w:lang w:val="fr-FR"/>
              </w:rPr>
              <w:t>Enveloppe cumulée</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749F69" w14:textId="77777777" w:rsidR="00060E28" w:rsidRDefault="00AE66FF">
            <w:pPr>
              <w:pStyle w:val="Paragraphedeliste"/>
              <w:jc w:val="center"/>
            </w:pPr>
            <w:r>
              <w:rPr>
                <w:lang w:val="fr-FR"/>
              </w:rPr>
              <w:t>Respect enveloppe</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143F0E" w14:textId="77777777" w:rsidR="00060E28" w:rsidRDefault="00AE66FF">
            <w:pPr>
              <w:pStyle w:val="Paragraphedeliste"/>
              <w:jc w:val="center"/>
            </w:pPr>
            <w:r>
              <w:rPr>
                <w:lang w:val="fr-FR"/>
              </w:rPr>
              <w:t>Enveloppe restante</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3F9F7" w14:textId="77777777" w:rsidR="00060E28" w:rsidRDefault="00AE66FF">
            <w:pPr>
              <w:pStyle w:val="Paragraphedeliste"/>
              <w:jc w:val="center"/>
            </w:pPr>
            <w:r>
              <w:rPr>
                <w:lang w:val="fr-FR"/>
              </w:rPr>
              <w:t xml:space="preserve">Nombre  </w:t>
            </w:r>
            <w:proofErr w:type="spellStart"/>
            <w:r>
              <w:rPr>
                <w:lang w:val="fr-FR"/>
              </w:rPr>
              <w:t>candid</w:t>
            </w:r>
            <w:proofErr w:type="spellEnd"/>
            <w:r>
              <w:rPr>
                <w:lang w:val="fr-FR"/>
              </w:rPr>
              <w:t>.</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5890" w14:textId="77777777" w:rsidR="00060E28" w:rsidRDefault="00AE66FF">
            <w:pPr>
              <w:pStyle w:val="Paragraphedeliste"/>
              <w:jc w:val="center"/>
            </w:pPr>
            <w:r>
              <w:rPr>
                <w:lang w:val="fr-FR"/>
              </w:rPr>
              <w:t>Respect  nombre candidats</w:t>
            </w:r>
          </w:p>
        </w:tc>
      </w:tr>
      <w:tr w:rsidR="00060E28" w14:paraId="621CE1D5" w14:textId="7777777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42C3" w14:textId="77777777" w:rsidR="00060E28" w:rsidRDefault="00AE66FF">
            <w:r>
              <w:rPr>
                <w:lang w:val="fr-FR"/>
              </w:rPr>
              <w:t>Projet 1 – 75000€</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9CF8AC" w14:textId="77777777" w:rsidR="00060E28" w:rsidRDefault="00AE66FF">
            <w:r>
              <w:rPr>
                <w:lang w:val="fr-FR"/>
              </w:rPr>
              <w:t>Suivi de la phase d’incubation</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FCC369" w14:textId="77777777" w:rsidR="00060E28" w:rsidRDefault="00AE66FF">
            <w:r>
              <w:rPr>
                <w:lang w:val="fr-FR"/>
              </w:rPr>
              <w:t>16</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E186B0" w14:textId="77777777" w:rsidR="00060E28" w:rsidRDefault="00AE66FF">
            <w:r>
              <w:rPr>
                <w:lang w:val="fr-FR"/>
              </w:rPr>
              <w:t>Oui</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F8C4DD" w14:textId="77777777" w:rsidR="00060E28" w:rsidRDefault="00AE66FF">
            <w:r>
              <w:rPr>
                <w:lang w:val="fr-FR"/>
              </w:rPr>
              <w:t>75 000,00€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A50B3C" w14:textId="77777777" w:rsidR="00060E28" w:rsidRDefault="00AE66FF">
            <w:r>
              <w:rPr>
                <w:lang w:val="fr-FR"/>
              </w:rPr>
              <w:t>Oui</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ACB213" w14:textId="77777777" w:rsidR="00060E28" w:rsidRDefault="00AE66FF">
            <w:r>
              <w:rPr>
                <w:lang w:val="fr-FR"/>
              </w:rPr>
              <w:t>225 000,00€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383BFF" w14:textId="77777777" w:rsidR="00060E28" w:rsidRDefault="00AE66FF">
            <w:r>
              <w:rPr>
                <w:lang w:val="fr-FR"/>
              </w:rPr>
              <w:t>1 sur 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8F35" w14:textId="77777777" w:rsidR="00060E28" w:rsidRDefault="00AE66FF">
            <w:r>
              <w:rPr>
                <w:lang w:val="fr-FR"/>
              </w:rPr>
              <w:t>Oui</w:t>
            </w:r>
          </w:p>
        </w:tc>
      </w:tr>
      <w:tr w:rsidR="00060E28" w14:paraId="5BE02BE1" w14:textId="7777777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092B5" w14:textId="77777777" w:rsidR="00060E28" w:rsidRDefault="00AE66FF">
            <w:r>
              <w:rPr>
                <w:lang w:val="fr-FR"/>
              </w:rPr>
              <w:t>Projet 2 – 120000€</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D8D390" w14:textId="77777777" w:rsidR="00060E28" w:rsidRDefault="00AE66FF">
            <w:r>
              <w:rPr>
                <w:lang w:val="fr-FR"/>
              </w:rPr>
              <w:t>Suivi de la phase de la propagation</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3922CA" w14:textId="77777777" w:rsidR="00060E28" w:rsidRDefault="00AE66FF">
            <w:r>
              <w:rPr>
                <w:lang w:val="fr-FR"/>
              </w:rPr>
              <w:t>13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F8734E" w14:textId="77777777" w:rsidR="00060E28" w:rsidRDefault="00AE66FF">
            <w:r>
              <w:rPr>
                <w:lang w:val="fr-FR"/>
              </w:rPr>
              <w:t>Oui</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6C3B9A" w14:textId="77777777" w:rsidR="00060E28" w:rsidRDefault="00AE66FF">
            <w:r>
              <w:rPr>
                <w:lang w:val="fr-FR"/>
              </w:rPr>
              <w:t>195 000,00€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372244" w14:textId="77777777" w:rsidR="00060E28" w:rsidRDefault="00AE66FF">
            <w:r>
              <w:rPr>
                <w:lang w:val="fr-FR"/>
              </w:rPr>
              <w:t>Oui</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2A61B3" w14:textId="77777777" w:rsidR="00060E28" w:rsidRDefault="00AE66FF">
            <w:r>
              <w:rPr>
                <w:lang w:val="fr-FR"/>
              </w:rPr>
              <w:t>105 000,00€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F2CA8C" w14:textId="77777777" w:rsidR="00060E28" w:rsidRDefault="00AE66FF">
            <w:r>
              <w:rPr>
                <w:lang w:val="fr-FR"/>
              </w:rPr>
              <w:t>2 sur 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13162" w14:textId="77777777" w:rsidR="00060E28" w:rsidRDefault="00AE66FF">
            <w:r>
              <w:rPr>
                <w:lang w:val="fr-FR"/>
              </w:rPr>
              <w:t>Oui</w:t>
            </w:r>
          </w:p>
        </w:tc>
      </w:tr>
      <w:tr w:rsidR="00060E28" w14:paraId="212AD6E7" w14:textId="77777777">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482E" w14:textId="77777777" w:rsidR="00060E28" w:rsidRDefault="00AE66FF">
            <w:r>
              <w:rPr>
                <w:lang w:val="fr-FR"/>
              </w:rPr>
              <w:t>Projet 4 – 30000€</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DDE6B4" w14:textId="77777777" w:rsidR="00060E28" w:rsidRDefault="00AE66FF">
            <w:r>
              <w:rPr>
                <w:lang w:val="fr-FR"/>
              </w:rPr>
              <w:t>Suivi de la phase d’incubation</w:t>
            </w:r>
          </w:p>
        </w:tc>
        <w:tc>
          <w:tcPr>
            <w:tcW w:w="7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E840A3" w14:textId="77777777" w:rsidR="00060E28" w:rsidRDefault="00AE66FF">
            <w:r>
              <w:rPr>
                <w:lang w:val="fr-FR"/>
              </w:rPr>
              <w:t>15</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047E5D" w14:textId="77777777" w:rsidR="00060E28" w:rsidRDefault="00AE66FF">
            <w:r>
              <w:rPr>
                <w:lang w:val="fr-FR"/>
              </w:rPr>
              <w:t>Oui</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7084C2" w14:textId="77777777" w:rsidR="00060E28" w:rsidRDefault="00AE66FF">
            <w:r>
              <w:rPr>
                <w:lang w:val="fr-FR"/>
              </w:rPr>
              <w:t>225 000,00€</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A1F18D" w14:textId="77777777" w:rsidR="00060E28" w:rsidRDefault="00AE66FF">
            <w:r>
              <w:rPr>
                <w:lang w:val="fr-FR"/>
              </w:rPr>
              <w:t>Oui</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BC776D" w14:textId="77777777" w:rsidR="00060E28" w:rsidRDefault="00AE66FF">
            <w:r>
              <w:rPr>
                <w:lang w:val="fr-FR"/>
              </w:rPr>
              <w:t>75 000,00€</w:t>
            </w: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3E7C32" w14:textId="77777777" w:rsidR="00060E28" w:rsidRDefault="00AE66FF">
            <w:r>
              <w:rPr>
                <w:lang w:val="fr-FR"/>
              </w:rPr>
              <w:t>3 sur 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5DB5" w14:textId="77777777" w:rsidR="00060E28" w:rsidRDefault="00AE66FF">
            <w:r>
              <w:rPr>
                <w:lang w:val="fr-FR"/>
              </w:rPr>
              <w:t>Oui</w:t>
            </w:r>
          </w:p>
        </w:tc>
      </w:tr>
      <w:tr w:rsidR="00060E28" w14:paraId="3F7E9BD8" w14:textId="77777777">
        <w:tc>
          <w:tcPr>
            <w:tcW w:w="11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0FD9" w14:textId="77777777" w:rsidR="00060E28" w:rsidRDefault="00AE66FF">
            <w:r>
              <w:rPr>
                <w:lang w:val="fr-FR"/>
              </w:rPr>
              <w:t>Projet 3 – 80000€</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14:paraId="5603A696" w14:textId="77777777" w:rsidR="00060E28" w:rsidRDefault="00AE66FF">
            <w:r>
              <w:rPr>
                <w:lang w:val="fr-FR"/>
              </w:rPr>
              <w:t>Suivi de la phase d’incubation</w:t>
            </w:r>
          </w:p>
        </w:tc>
        <w:tc>
          <w:tcPr>
            <w:tcW w:w="708" w:type="dxa"/>
            <w:tcBorders>
              <w:left w:val="single" w:sz="4" w:space="0" w:color="000000"/>
              <w:bottom w:val="single" w:sz="4" w:space="0" w:color="000000"/>
            </w:tcBorders>
            <w:shd w:val="clear" w:color="auto" w:fill="auto"/>
            <w:tcMar>
              <w:top w:w="0" w:type="dxa"/>
              <w:left w:w="108" w:type="dxa"/>
              <w:bottom w:w="0" w:type="dxa"/>
              <w:right w:w="108" w:type="dxa"/>
            </w:tcMar>
          </w:tcPr>
          <w:p w14:paraId="651AAF84" w14:textId="77777777" w:rsidR="00060E28" w:rsidRDefault="00AE66FF">
            <w:r>
              <w:rPr>
                <w:lang w:val="fr-FR"/>
              </w:rPr>
              <w:t>12</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14:paraId="4BCC51CA" w14:textId="77777777" w:rsidR="00060E28" w:rsidRDefault="00AE66FF">
            <w:r>
              <w:rPr>
                <w:lang w:val="fr-FR"/>
              </w:rPr>
              <w:t>Oui</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14:paraId="786A8F5E" w14:textId="77777777" w:rsidR="00060E28" w:rsidRDefault="00AE66FF">
            <w:pPr>
              <w:jc w:val="both"/>
            </w:pPr>
            <w:r>
              <w:rPr>
                <w:strike/>
                <w:lang w:val="fr-FR"/>
              </w:rPr>
              <w:t>305 000,00</w:t>
            </w:r>
            <w:r>
              <w:rPr>
                <w:lang w:val="fr-FR"/>
              </w:rPr>
              <w:t>€</w:t>
            </w:r>
          </w:p>
        </w:tc>
        <w:tc>
          <w:tcPr>
            <w:tcW w:w="1275" w:type="dxa"/>
            <w:tcBorders>
              <w:left w:val="single" w:sz="4" w:space="0" w:color="000000"/>
              <w:bottom w:val="single" w:sz="4" w:space="0" w:color="000000"/>
            </w:tcBorders>
            <w:shd w:val="clear" w:color="auto" w:fill="auto"/>
            <w:tcMar>
              <w:top w:w="0" w:type="dxa"/>
              <w:left w:w="108" w:type="dxa"/>
              <w:bottom w:w="0" w:type="dxa"/>
              <w:right w:w="108" w:type="dxa"/>
            </w:tcMar>
          </w:tcPr>
          <w:p w14:paraId="2B0AF2F3" w14:textId="77777777" w:rsidR="00060E28" w:rsidRDefault="00AE66FF">
            <w:r>
              <w:rPr>
                <w:lang w:val="fr-FR"/>
              </w:rPr>
              <w:t>Non, projet non sélectionné</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14:paraId="5E171A09" w14:textId="77777777" w:rsidR="00060E28" w:rsidRDefault="00060E28"/>
        </w:tc>
        <w:tc>
          <w:tcPr>
            <w:tcW w:w="992" w:type="dxa"/>
            <w:tcBorders>
              <w:left w:val="single" w:sz="4" w:space="0" w:color="000000"/>
              <w:bottom w:val="single" w:sz="4" w:space="0" w:color="000000"/>
            </w:tcBorders>
            <w:shd w:val="clear" w:color="auto" w:fill="auto"/>
            <w:tcMar>
              <w:top w:w="0" w:type="dxa"/>
              <w:left w:w="108" w:type="dxa"/>
              <w:bottom w:w="0" w:type="dxa"/>
              <w:right w:w="108" w:type="dxa"/>
            </w:tcMar>
          </w:tcPr>
          <w:p w14:paraId="374EA93B" w14:textId="77777777" w:rsidR="00060E28" w:rsidRDefault="00060E28"/>
        </w:tc>
        <w:tc>
          <w:tcPr>
            <w:tcW w:w="11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F0DBB" w14:textId="77777777" w:rsidR="00060E28" w:rsidRDefault="00060E28"/>
        </w:tc>
      </w:tr>
      <w:tr w:rsidR="00060E28" w14:paraId="2400AF66" w14:textId="77777777">
        <w:tc>
          <w:tcPr>
            <w:tcW w:w="11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904C" w14:textId="77777777" w:rsidR="00060E28" w:rsidRDefault="00AE66FF">
            <w:r>
              <w:rPr>
                <w:lang w:val="fr-FR"/>
              </w:rPr>
              <w:t>Projet 5 – 45000€</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14:paraId="2A05A3DB" w14:textId="77777777" w:rsidR="00060E28" w:rsidRDefault="00AE66FF">
            <w:r>
              <w:rPr>
                <w:lang w:val="fr-FR"/>
              </w:rPr>
              <w:t>Suivi de la phase de la propagation</w:t>
            </w:r>
          </w:p>
        </w:tc>
        <w:tc>
          <w:tcPr>
            <w:tcW w:w="708" w:type="dxa"/>
            <w:tcBorders>
              <w:left w:val="single" w:sz="4" w:space="0" w:color="000000"/>
              <w:bottom w:val="single" w:sz="4" w:space="0" w:color="000000"/>
            </w:tcBorders>
            <w:shd w:val="clear" w:color="auto" w:fill="auto"/>
            <w:tcMar>
              <w:top w:w="0" w:type="dxa"/>
              <w:left w:w="108" w:type="dxa"/>
              <w:bottom w:w="0" w:type="dxa"/>
              <w:right w:w="108" w:type="dxa"/>
            </w:tcMar>
          </w:tcPr>
          <w:p w14:paraId="356BBFEE" w14:textId="77777777" w:rsidR="00060E28" w:rsidRDefault="00AE66FF">
            <w:r>
              <w:rPr>
                <w:lang w:val="fr-FR"/>
              </w:rPr>
              <w:t>10</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14:paraId="01AEF038" w14:textId="77777777" w:rsidR="00060E28" w:rsidRDefault="00AE66FF">
            <w:r>
              <w:rPr>
                <w:lang w:val="fr-FR"/>
              </w:rPr>
              <w:t>Oui</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14:paraId="2F425742" w14:textId="77777777" w:rsidR="00060E28" w:rsidRDefault="00AE66FF">
            <w:r>
              <w:rPr>
                <w:lang w:val="fr-FR"/>
              </w:rPr>
              <w:t>270 000,00€</w:t>
            </w:r>
          </w:p>
        </w:tc>
        <w:tc>
          <w:tcPr>
            <w:tcW w:w="1275" w:type="dxa"/>
            <w:tcBorders>
              <w:left w:val="single" w:sz="4" w:space="0" w:color="000000"/>
              <w:bottom w:val="single" w:sz="4" w:space="0" w:color="000000"/>
            </w:tcBorders>
            <w:shd w:val="clear" w:color="auto" w:fill="auto"/>
            <w:tcMar>
              <w:top w:w="0" w:type="dxa"/>
              <w:left w:w="108" w:type="dxa"/>
              <w:bottom w:w="0" w:type="dxa"/>
              <w:right w:w="108" w:type="dxa"/>
            </w:tcMar>
          </w:tcPr>
          <w:p w14:paraId="1F1A3A53" w14:textId="77777777" w:rsidR="00060E28" w:rsidRDefault="00AE66FF">
            <w:r>
              <w:rPr>
                <w:lang w:val="fr-FR"/>
              </w:rPr>
              <w:t>Oui</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14:paraId="4C3C473C" w14:textId="77777777" w:rsidR="00060E28" w:rsidRDefault="00AE66FF">
            <w:r>
              <w:rPr>
                <w:lang w:val="fr-FR"/>
              </w:rPr>
              <w:t>30 000,00€</w:t>
            </w:r>
          </w:p>
        </w:tc>
        <w:tc>
          <w:tcPr>
            <w:tcW w:w="992" w:type="dxa"/>
            <w:tcBorders>
              <w:left w:val="single" w:sz="4" w:space="0" w:color="000000"/>
              <w:bottom w:val="single" w:sz="4" w:space="0" w:color="000000"/>
            </w:tcBorders>
            <w:shd w:val="clear" w:color="auto" w:fill="auto"/>
            <w:tcMar>
              <w:top w:w="0" w:type="dxa"/>
              <w:left w:w="108" w:type="dxa"/>
              <w:bottom w:w="0" w:type="dxa"/>
              <w:right w:w="108" w:type="dxa"/>
            </w:tcMar>
          </w:tcPr>
          <w:p w14:paraId="3F85B4C5" w14:textId="77777777" w:rsidR="00060E28" w:rsidRDefault="00AE66FF">
            <w:r>
              <w:rPr>
                <w:lang w:val="fr-FR"/>
              </w:rPr>
              <w:t>4 sur 6</w:t>
            </w:r>
          </w:p>
        </w:tc>
        <w:tc>
          <w:tcPr>
            <w:tcW w:w="11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B998" w14:textId="77777777" w:rsidR="00060E28" w:rsidRDefault="00AE66FF">
            <w:r>
              <w:rPr>
                <w:lang w:val="fr-FR"/>
              </w:rPr>
              <w:t>Oui</w:t>
            </w:r>
          </w:p>
        </w:tc>
      </w:tr>
      <w:tr w:rsidR="00060E28" w14:paraId="3A93ECD2" w14:textId="77777777">
        <w:tc>
          <w:tcPr>
            <w:tcW w:w="11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91DA" w14:textId="77777777" w:rsidR="00060E28" w:rsidRDefault="00AE66FF">
            <w:r>
              <w:rPr>
                <w:lang w:val="fr-FR"/>
              </w:rPr>
              <w:t>Projet 6 – 20000€</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14:paraId="72C94211" w14:textId="77777777" w:rsidR="00060E28" w:rsidRDefault="00AE66FF">
            <w:r>
              <w:rPr>
                <w:lang w:val="fr-FR"/>
              </w:rPr>
              <w:t>Suivi de la phase de la propagation</w:t>
            </w:r>
          </w:p>
        </w:tc>
        <w:tc>
          <w:tcPr>
            <w:tcW w:w="708" w:type="dxa"/>
            <w:tcBorders>
              <w:left w:val="single" w:sz="4" w:space="0" w:color="000000"/>
              <w:bottom w:val="single" w:sz="4" w:space="0" w:color="000000"/>
            </w:tcBorders>
            <w:shd w:val="clear" w:color="auto" w:fill="auto"/>
            <w:tcMar>
              <w:top w:w="0" w:type="dxa"/>
              <w:left w:w="108" w:type="dxa"/>
              <w:bottom w:w="0" w:type="dxa"/>
              <w:right w:w="108" w:type="dxa"/>
            </w:tcMar>
          </w:tcPr>
          <w:p w14:paraId="2DF87944" w14:textId="77777777" w:rsidR="00060E28" w:rsidRDefault="00AE66FF">
            <w:r>
              <w:rPr>
                <w:lang w:val="fr-FR"/>
              </w:rPr>
              <w:t>8</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14:paraId="3050FF8B" w14:textId="77777777" w:rsidR="00060E28" w:rsidRDefault="00AE66FF">
            <w:r>
              <w:rPr>
                <w:lang w:val="fr-FR"/>
              </w:rPr>
              <w:t>Non, projet non sélectionné</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14:paraId="2E68492B" w14:textId="77777777" w:rsidR="00060E28" w:rsidRDefault="00060E28"/>
        </w:tc>
        <w:tc>
          <w:tcPr>
            <w:tcW w:w="1275" w:type="dxa"/>
            <w:tcBorders>
              <w:left w:val="single" w:sz="4" w:space="0" w:color="000000"/>
              <w:bottom w:val="single" w:sz="4" w:space="0" w:color="000000"/>
            </w:tcBorders>
            <w:shd w:val="clear" w:color="auto" w:fill="auto"/>
            <w:tcMar>
              <w:top w:w="0" w:type="dxa"/>
              <w:left w:w="108" w:type="dxa"/>
              <w:bottom w:w="0" w:type="dxa"/>
              <w:right w:w="108" w:type="dxa"/>
            </w:tcMar>
          </w:tcPr>
          <w:p w14:paraId="71CBD002" w14:textId="77777777" w:rsidR="00060E28" w:rsidRDefault="00060E28"/>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14:paraId="32F7D151" w14:textId="77777777" w:rsidR="00060E28" w:rsidRDefault="00060E28"/>
        </w:tc>
        <w:tc>
          <w:tcPr>
            <w:tcW w:w="992" w:type="dxa"/>
            <w:tcBorders>
              <w:left w:val="single" w:sz="4" w:space="0" w:color="000000"/>
              <w:bottom w:val="single" w:sz="4" w:space="0" w:color="000000"/>
            </w:tcBorders>
            <w:shd w:val="clear" w:color="auto" w:fill="auto"/>
            <w:tcMar>
              <w:top w:w="0" w:type="dxa"/>
              <w:left w:w="108" w:type="dxa"/>
              <w:bottom w:w="0" w:type="dxa"/>
              <w:right w:w="108" w:type="dxa"/>
            </w:tcMar>
          </w:tcPr>
          <w:p w14:paraId="6825DC2D" w14:textId="77777777" w:rsidR="00060E28" w:rsidRDefault="00060E28"/>
        </w:tc>
        <w:tc>
          <w:tcPr>
            <w:tcW w:w="11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9CB1" w14:textId="77777777" w:rsidR="00060E28" w:rsidRDefault="00060E28"/>
        </w:tc>
      </w:tr>
    </w:tbl>
    <w:p w14:paraId="57F108CF" w14:textId="77777777" w:rsidR="00060E28" w:rsidRDefault="00AE66FF">
      <w:pPr>
        <w:ind w:left="360"/>
        <w:jc w:val="both"/>
      </w:pPr>
      <w:r>
        <w:rPr>
          <w:lang w:val="fr-FR"/>
        </w:rPr>
        <w:tab/>
      </w:r>
    </w:p>
    <w:p w14:paraId="54EBC2D7" w14:textId="77777777" w:rsidR="00060E28" w:rsidRDefault="00060E28"/>
    <w:p w14:paraId="739EA38B" w14:textId="77777777" w:rsidR="00060E28" w:rsidRDefault="00AE66FF" w:rsidP="000A499E">
      <w:pPr>
        <w:pStyle w:val="Style2"/>
        <w:numPr>
          <w:ilvl w:val="1"/>
          <w:numId w:val="60"/>
        </w:numPr>
      </w:pPr>
      <w:bookmarkStart w:id="76" w:name="__RefHeading___Toc13977_3040839714"/>
      <w:bookmarkStart w:id="77" w:name="_Toc16"/>
      <w:bookmarkStart w:id="78" w:name="_Toc97630295"/>
      <w:bookmarkStart w:id="79" w:name="_Toc97665340"/>
      <w:bookmarkStart w:id="80" w:name="_Toc100582417"/>
      <w:r>
        <w:rPr>
          <w:lang w:val="fr-FR"/>
        </w:rPr>
        <w:t>Publication des informations de projets retenus</w:t>
      </w:r>
      <w:bookmarkEnd w:id="76"/>
      <w:bookmarkEnd w:id="77"/>
      <w:bookmarkEnd w:id="78"/>
      <w:bookmarkEnd w:id="79"/>
      <w:bookmarkEnd w:id="80"/>
    </w:p>
    <w:p w14:paraId="27F50BDA" w14:textId="77777777" w:rsidR="00060E28" w:rsidRDefault="00060E28"/>
    <w:p w14:paraId="7ED46383" w14:textId="77777777" w:rsidR="00060E28" w:rsidRDefault="00AE66FF">
      <w:pPr>
        <w:jc w:val="both"/>
      </w:pPr>
      <w:r>
        <w:rPr>
          <w:lang w:val="fr-FR"/>
        </w:rPr>
        <w:t>Durant la phase de dépôt et d’analyse des dossiers, les échanges avec le jury et les délibérations resteront confidentiels. Après notification, certains éléments des dossiers retenus seront rendus publics. Le porteur du projet autorise la Région Bretagne à publier sur son site internet ou sur tout autre support :</w:t>
      </w:r>
    </w:p>
    <w:p w14:paraId="34FA9712" w14:textId="77777777" w:rsidR="00060E28" w:rsidRDefault="00060E28">
      <w:pPr>
        <w:jc w:val="both"/>
      </w:pPr>
    </w:p>
    <w:p w14:paraId="0C825865" w14:textId="77777777" w:rsidR="00060E28" w:rsidRDefault="00AE66FF">
      <w:pPr>
        <w:numPr>
          <w:ilvl w:val="0"/>
          <w:numId w:val="44"/>
        </w:numPr>
        <w:jc w:val="both"/>
      </w:pPr>
      <w:r>
        <w:rPr>
          <w:lang w:val="fr-FR"/>
        </w:rPr>
        <w:t>Le nom complet du projet et son acronyme,</w:t>
      </w:r>
    </w:p>
    <w:p w14:paraId="7F85DFC6" w14:textId="77777777" w:rsidR="00060E28" w:rsidRDefault="00AE66FF">
      <w:pPr>
        <w:numPr>
          <w:ilvl w:val="0"/>
          <w:numId w:val="44"/>
        </w:numPr>
        <w:jc w:val="both"/>
      </w:pPr>
      <w:r>
        <w:rPr>
          <w:lang w:val="fr-FR"/>
        </w:rPr>
        <w:t>Le résumé du projet et les résultats attendus,</w:t>
      </w:r>
    </w:p>
    <w:p w14:paraId="4DE69AE7" w14:textId="77777777" w:rsidR="00060E28" w:rsidRDefault="00AE66FF">
      <w:pPr>
        <w:numPr>
          <w:ilvl w:val="0"/>
          <w:numId w:val="44"/>
        </w:numPr>
        <w:jc w:val="both"/>
      </w:pPr>
      <w:r>
        <w:rPr>
          <w:lang w:val="fr-FR"/>
        </w:rPr>
        <w:t>Les dates de début et fin du projet,</w:t>
      </w:r>
    </w:p>
    <w:p w14:paraId="22D16005" w14:textId="77777777" w:rsidR="00060E28" w:rsidRDefault="00AE66FF">
      <w:pPr>
        <w:numPr>
          <w:ilvl w:val="0"/>
          <w:numId w:val="44"/>
        </w:numPr>
        <w:jc w:val="both"/>
        <w:rPr>
          <w:lang w:val="fr-FR"/>
        </w:rPr>
      </w:pPr>
      <w:r>
        <w:rPr>
          <w:lang w:val="fr-FR"/>
        </w:rPr>
        <w:t>Le budget du projet ainsi que la contribution de la région Bretagne.</w:t>
      </w:r>
    </w:p>
    <w:p w14:paraId="555D59F6" w14:textId="77777777" w:rsidR="00060E28" w:rsidRDefault="00060E28">
      <w:pPr>
        <w:pageBreakBefore/>
        <w:suppressAutoHyphens w:val="0"/>
        <w:rPr>
          <w:lang w:val="fr-FR"/>
        </w:rPr>
      </w:pPr>
    </w:p>
    <w:p w14:paraId="79510A68" w14:textId="77777777" w:rsidR="00060E28" w:rsidRDefault="00AE66FF" w:rsidP="000A499E">
      <w:pPr>
        <w:pStyle w:val="Style2"/>
        <w:numPr>
          <w:ilvl w:val="1"/>
          <w:numId w:val="60"/>
        </w:numPr>
      </w:pPr>
      <w:bookmarkStart w:id="81" w:name="__RefHeading___Toc13979_3040839714"/>
      <w:bookmarkStart w:id="82" w:name="_Toc17"/>
      <w:bookmarkStart w:id="83" w:name="_Toc97630296"/>
      <w:bookmarkStart w:id="84" w:name="_Toc97665341"/>
      <w:bookmarkStart w:id="85" w:name="_Toc100582418"/>
      <w:r>
        <w:rPr>
          <w:lang w:val="fr-FR"/>
        </w:rPr>
        <w:t>Focus sur l’accord de consortium et la propriété industrielle</w:t>
      </w:r>
      <w:bookmarkEnd w:id="81"/>
      <w:bookmarkEnd w:id="82"/>
      <w:bookmarkEnd w:id="83"/>
      <w:bookmarkEnd w:id="84"/>
      <w:bookmarkEnd w:id="85"/>
    </w:p>
    <w:p w14:paraId="35092208" w14:textId="77777777" w:rsidR="00060E28" w:rsidRDefault="00060E28"/>
    <w:p w14:paraId="3A6B5643" w14:textId="77777777" w:rsidR="00060E28" w:rsidRDefault="00AE66FF">
      <w:pPr>
        <w:jc w:val="both"/>
      </w:pPr>
      <w:r>
        <w:rPr>
          <w:lang w:val="fr-FR"/>
        </w:rPr>
        <w:t>L’accord de consortium doit préciser :</w:t>
      </w:r>
    </w:p>
    <w:p w14:paraId="42D91B83" w14:textId="77777777" w:rsidR="00060E28" w:rsidRDefault="00060E28">
      <w:pPr>
        <w:jc w:val="both"/>
      </w:pPr>
    </w:p>
    <w:p w14:paraId="1E013BE5" w14:textId="77777777" w:rsidR="00060E28" w:rsidRDefault="00AE66FF">
      <w:pPr>
        <w:numPr>
          <w:ilvl w:val="0"/>
          <w:numId w:val="45"/>
        </w:numPr>
        <w:jc w:val="both"/>
      </w:pPr>
      <w:r>
        <w:rPr>
          <w:lang w:val="fr-FR"/>
        </w:rPr>
        <w:t>Les apports des partenaires, connaissances antérieures et résultats du projet,</w:t>
      </w:r>
    </w:p>
    <w:p w14:paraId="306388B9" w14:textId="77777777" w:rsidR="00060E28" w:rsidRDefault="00AE66FF">
      <w:pPr>
        <w:numPr>
          <w:ilvl w:val="0"/>
          <w:numId w:val="45"/>
        </w:numPr>
        <w:jc w:val="both"/>
      </w:pPr>
      <w:r>
        <w:rPr>
          <w:lang w:val="fr-FR"/>
        </w:rPr>
        <w:t>Les responsabilités de chaque partenaire,</w:t>
      </w:r>
    </w:p>
    <w:p w14:paraId="7580F473" w14:textId="77777777" w:rsidR="00060E28" w:rsidRDefault="00AE66FF">
      <w:pPr>
        <w:numPr>
          <w:ilvl w:val="0"/>
          <w:numId w:val="45"/>
        </w:numPr>
        <w:jc w:val="both"/>
      </w:pPr>
      <w:r>
        <w:rPr>
          <w:lang w:val="fr-FR"/>
        </w:rPr>
        <w:t>La répartition des paiements entre membre du consortium quand celui-ci a la personnalité juridique,</w:t>
      </w:r>
    </w:p>
    <w:p w14:paraId="6F2ED869" w14:textId="77777777" w:rsidR="00060E28" w:rsidRDefault="00AE66FF">
      <w:pPr>
        <w:numPr>
          <w:ilvl w:val="0"/>
          <w:numId w:val="45"/>
        </w:numPr>
        <w:jc w:val="both"/>
      </w:pPr>
      <w:r>
        <w:rPr>
          <w:lang w:val="fr-FR"/>
        </w:rPr>
        <w:t>Le partage de la propriété industrielle des résultats du projet.</w:t>
      </w:r>
    </w:p>
    <w:p w14:paraId="73311F10" w14:textId="77777777" w:rsidR="00060E28" w:rsidRDefault="00060E28">
      <w:pPr>
        <w:jc w:val="both"/>
      </w:pPr>
    </w:p>
    <w:p w14:paraId="3E81B0CF" w14:textId="77777777" w:rsidR="00060E28" w:rsidRDefault="00AE66FF">
      <w:pPr>
        <w:jc w:val="both"/>
      </w:pPr>
      <w:r>
        <w:rPr>
          <w:lang w:val="fr-FR"/>
        </w:rPr>
        <w:t>Sauf contre-indication du maître d’ouvrage, l’instrumentation financée par ce projet restera en place sur le ou les ouvrages à l’issue du projet pour poursuivre la collecte de données.</w:t>
      </w:r>
    </w:p>
    <w:p w14:paraId="1068C2C1" w14:textId="77777777" w:rsidR="00060E28" w:rsidRDefault="00060E28">
      <w:pPr>
        <w:jc w:val="both"/>
      </w:pPr>
    </w:p>
    <w:p w14:paraId="1E041984" w14:textId="77777777" w:rsidR="00060E28" w:rsidRDefault="00AE66FF">
      <w:pPr>
        <w:jc w:val="both"/>
      </w:pPr>
      <w:r>
        <w:rPr>
          <w:lang w:val="fr-FR"/>
        </w:rPr>
        <w:t>Le projet d’accord de consortium sera remis avec le dossier de candidature. L’accord de consortium définitif devra être signé au plus tard quinze jours après notification de l’acceptation du projet. Il sera annexé à la convention de financement.</w:t>
      </w:r>
    </w:p>
    <w:p w14:paraId="1E53A7A9" w14:textId="77777777" w:rsidR="00060E28" w:rsidRDefault="00060E28">
      <w:pPr>
        <w:jc w:val="both"/>
      </w:pPr>
    </w:p>
    <w:p w14:paraId="0A53B58C" w14:textId="77777777" w:rsidR="00060E28" w:rsidRDefault="00060E28"/>
    <w:p w14:paraId="48686359" w14:textId="77777777" w:rsidR="00060E28" w:rsidRDefault="00AE66FF" w:rsidP="000A499E">
      <w:pPr>
        <w:pStyle w:val="Style2"/>
        <w:numPr>
          <w:ilvl w:val="1"/>
          <w:numId w:val="60"/>
        </w:numPr>
      </w:pPr>
      <w:bookmarkStart w:id="86" w:name="__RefHeading___Toc13981_3040839714"/>
      <w:bookmarkStart w:id="87" w:name="_Toc18"/>
      <w:bookmarkStart w:id="88" w:name="_Toc97630297"/>
      <w:bookmarkStart w:id="89" w:name="_Toc97665342"/>
      <w:bookmarkStart w:id="90" w:name="_Toc100582419"/>
      <w:r>
        <w:rPr>
          <w:lang w:val="fr-FR"/>
        </w:rPr>
        <w:t>Protection des données personnelles RGPD</w:t>
      </w:r>
      <w:bookmarkEnd w:id="86"/>
      <w:bookmarkEnd w:id="87"/>
      <w:bookmarkEnd w:id="88"/>
      <w:bookmarkEnd w:id="89"/>
      <w:bookmarkEnd w:id="90"/>
    </w:p>
    <w:p w14:paraId="67B81C9B" w14:textId="77777777" w:rsidR="00060E28" w:rsidRDefault="00060E28"/>
    <w:p w14:paraId="1D2E46E5" w14:textId="77777777" w:rsidR="00060E28" w:rsidRDefault="00AE66FF">
      <w:pPr>
        <w:jc w:val="both"/>
      </w:pPr>
      <w:r>
        <w:rPr>
          <w:lang w:val="fr-FR"/>
        </w:rPr>
        <w:t>Conformément à la loi Informatique et Libertés du 6 janvier 1978, le porteur du projet et les partenaires pourra à tout moment bénéficier d’un droit d’accès, de rectification, et d’opposition à l’ensemble de ses données personnelles en contactant la Région Bretagne. Les dispositions du RGPD seront respectées.</w:t>
      </w:r>
    </w:p>
    <w:p w14:paraId="136277D7" w14:textId="77777777" w:rsidR="00060E28" w:rsidRDefault="00060E28"/>
    <w:p w14:paraId="439C32DF" w14:textId="77777777" w:rsidR="00060E28" w:rsidRDefault="00060E28"/>
    <w:p w14:paraId="5A585E97" w14:textId="77777777" w:rsidR="00060E28" w:rsidRDefault="00AE66FF" w:rsidP="000A499E">
      <w:pPr>
        <w:pStyle w:val="Style1"/>
        <w:numPr>
          <w:ilvl w:val="1"/>
          <w:numId w:val="8"/>
        </w:numPr>
        <w:outlineLvl w:val="0"/>
      </w:pPr>
      <w:bookmarkStart w:id="91" w:name="__RefHeading___Toc13983_3040839714"/>
      <w:bookmarkStart w:id="92" w:name="_Toc19"/>
      <w:bookmarkStart w:id="93" w:name="_Toc97630298"/>
      <w:bookmarkStart w:id="94" w:name="_Toc97665343"/>
      <w:bookmarkStart w:id="95" w:name="_Toc100582420"/>
      <w:r>
        <w:t>Mise en place et suivi du projet</w:t>
      </w:r>
      <w:bookmarkEnd w:id="91"/>
      <w:bookmarkEnd w:id="92"/>
      <w:bookmarkEnd w:id="93"/>
      <w:bookmarkEnd w:id="94"/>
      <w:bookmarkEnd w:id="95"/>
    </w:p>
    <w:p w14:paraId="0B31AEEF" w14:textId="77777777" w:rsidR="00060E28" w:rsidRDefault="00060E28">
      <w:pPr>
        <w:pStyle w:val="Paragraphedeliste"/>
        <w:numPr>
          <w:ilvl w:val="0"/>
          <w:numId w:val="60"/>
        </w:numPr>
        <w:rPr>
          <w:rFonts w:ascii="Calibri Light" w:eastAsia="Calibri Light" w:hAnsi="Calibri Light" w:cs="Calibri Light"/>
          <w:vanish/>
          <w:color w:val="2F5496"/>
          <w:sz w:val="26"/>
          <w:lang w:val="fr-FR"/>
        </w:rPr>
      </w:pPr>
      <w:bookmarkStart w:id="96" w:name="__RefHeading___Toc13985_3040839714"/>
      <w:bookmarkStart w:id="97" w:name="_Toc20"/>
      <w:bookmarkStart w:id="98" w:name="_Toc97630299"/>
      <w:bookmarkStart w:id="99" w:name="_Toc97665344"/>
    </w:p>
    <w:p w14:paraId="0C10C5C4" w14:textId="77777777" w:rsidR="00060E28" w:rsidRDefault="00AE66FF" w:rsidP="000A499E">
      <w:pPr>
        <w:pStyle w:val="Style2"/>
        <w:numPr>
          <w:ilvl w:val="1"/>
          <w:numId w:val="60"/>
        </w:numPr>
      </w:pPr>
      <w:bookmarkStart w:id="100" w:name="_Toc100582421"/>
      <w:r>
        <w:rPr>
          <w:lang w:val="fr-FR"/>
        </w:rPr>
        <w:t>Mise en place d’une convention</w:t>
      </w:r>
      <w:bookmarkEnd w:id="96"/>
      <w:bookmarkEnd w:id="97"/>
      <w:bookmarkEnd w:id="98"/>
      <w:bookmarkEnd w:id="99"/>
      <w:bookmarkEnd w:id="100"/>
    </w:p>
    <w:p w14:paraId="7A7FB9DB" w14:textId="77777777" w:rsidR="00060E28" w:rsidRDefault="00060E28"/>
    <w:p w14:paraId="1109F59B" w14:textId="77777777" w:rsidR="00060E28" w:rsidRDefault="00AE66FF">
      <w:pPr>
        <w:jc w:val="both"/>
      </w:pPr>
      <w:r>
        <w:rPr>
          <w:lang w:val="fr-FR"/>
        </w:rPr>
        <w:t>Une convention entre le consortium ou le porteur et la Région Bretagne sera mise en place sur la base des éléments du dossier de candidature (volet technique et financier, planning) et des clauses administratives générales (document 3).</w:t>
      </w:r>
    </w:p>
    <w:p w14:paraId="461FF647" w14:textId="77777777" w:rsidR="00060E28" w:rsidRDefault="00060E28"/>
    <w:p w14:paraId="5337D9C2" w14:textId="77777777" w:rsidR="00060E28" w:rsidRDefault="00AE66FF" w:rsidP="000A499E">
      <w:pPr>
        <w:pStyle w:val="Style2"/>
        <w:numPr>
          <w:ilvl w:val="1"/>
          <w:numId w:val="60"/>
        </w:numPr>
      </w:pPr>
      <w:bookmarkStart w:id="101" w:name="__RefHeading___Toc13987_3040839714"/>
      <w:bookmarkStart w:id="102" w:name="_Toc21"/>
      <w:bookmarkStart w:id="103" w:name="_Toc97630300"/>
      <w:bookmarkStart w:id="104" w:name="_Toc97665345"/>
      <w:bookmarkStart w:id="105" w:name="_Toc100582422"/>
      <w:r>
        <w:rPr>
          <w:lang w:val="fr-FR"/>
        </w:rPr>
        <w:t>Suivi technique</w:t>
      </w:r>
      <w:bookmarkEnd w:id="101"/>
      <w:bookmarkEnd w:id="102"/>
      <w:bookmarkEnd w:id="103"/>
      <w:bookmarkEnd w:id="104"/>
      <w:bookmarkEnd w:id="105"/>
    </w:p>
    <w:p w14:paraId="20A9CAC2" w14:textId="77777777" w:rsidR="00060E28" w:rsidRDefault="00060E28"/>
    <w:p w14:paraId="2CD441CE" w14:textId="77777777" w:rsidR="00060E28" w:rsidRDefault="00AE66FF">
      <w:pPr>
        <w:jc w:val="both"/>
      </w:pPr>
      <w:r>
        <w:rPr>
          <w:lang w:val="fr-FR"/>
        </w:rPr>
        <w:t xml:space="preserve">Un suivi technique sera assuré par la Région Bretagne et le </w:t>
      </w:r>
      <w:proofErr w:type="spellStart"/>
      <w:r>
        <w:rPr>
          <w:lang w:val="fr-FR"/>
        </w:rPr>
        <w:t>Cerema</w:t>
      </w:r>
      <w:proofErr w:type="spellEnd"/>
      <w:r>
        <w:rPr>
          <w:lang w:val="fr-FR"/>
        </w:rPr>
        <w:t xml:space="preserve"> conformément aux conditions administratives générales.</w:t>
      </w:r>
    </w:p>
    <w:p w14:paraId="65ED40B1" w14:textId="77777777" w:rsidR="00060E28" w:rsidRDefault="00060E28"/>
    <w:p w14:paraId="59D7C3BB" w14:textId="77777777" w:rsidR="00060E28" w:rsidRDefault="00AE66FF" w:rsidP="006E24C0">
      <w:pPr>
        <w:pStyle w:val="Style2"/>
        <w:numPr>
          <w:ilvl w:val="1"/>
          <w:numId w:val="60"/>
        </w:numPr>
      </w:pPr>
      <w:bookmarkStart w:id="106" w:name="__RefHeading___Toc13989_3040839714"/>
      <w:bookmarkStart w:id="107" w:name="_Toc22"/>
      <w:bookmarkStart w:id="108" w:name="_Toc97630301"/>
      <w:bookmarkStart w:id="109" w:name="_Toc97665346"/>
      <w:bookmarkStart w:id="110" w:name="_Toc100582423"/>
      <w:r>
        <w:rPr>
          <w:lang w:val="fr-FR"/>
        </w:rPr>
        <w:t>Suivi financier</w:t>
      </w:r>
      <w:bookmarkEnd w:id="106"/>
      <w:bookmarkEnd w:id="107"/>
      <w:bookmarkEnd w:id="108"/>
      <w:bookmarkEnd w:id="109"/>
      <w:bookmarkEnd w:id="110"/>
    </w:p>
    <w:p w14:paraId="457CB952" w14:textId="77777777" w:rsidR="00060E28" w:rsidRDefault="00060E28"/>
    <w:p w14:paraId="5CDE5734" w14:textId="77777777" w:rsidR="00060E28" w:rsidRDefault="00AE66FF">
      <w:pPr>
        <w:jc w:val="both"/>
      </w:pPr>
      <w:r>
        <w:rPr>
          <w:lang w:val="fr-FR"/>
        </w:rPr>
        <w:t>Le financement sera versé de la manière suivante :</w:t>
      </w:r>
    </w:p>
    <w:p w14:paraId="58C44C9E" w14:textId="77777777" w:rsidR="00060E28" w:rsidRDefault="00060E28">
      <w:pPr>
        <w:jc w:val="both"/>
      </w:pPr>
    </w:p>
    <w:p w14:paraId="7DBC245C" w14:textId="77777777" w:rsidR="00060E28" w:rsidRDefault="00AE66FF">
      <w:pPr>
        <w:numPr>
          <w:ilvl w:val="0"/>
          <w:numId w:val="46"/>
        </w:numPr>
        <w:jc w:val="both"/>
      </w:pPr>
      <w:r>
        <w:rPr>
          <w:lang w:val="fr-FR"/>
        </w:rPr>
        <w:t>Une avance de 30% après signature de la convention définie ci-avant</w:t>
      </w:r>
    </w:p>
    <w:p w14:paraId="35CBCAE5" w14:textId="77777777" w:rsidR="00060E28" w:rsidRDefault="00AE66FF">
      <w:pPr>
        <w:numPr>
          <w:ilvl w:val="0"/>
          <w:numId w:val="46"/>
        </w:numPr>
        <w:jc w:val="both"/>
      </w:pPr>
      <w:r>
        <w:rPr>
          <w:lang w:val="fr-FR"/>
        </w:rPr>
        <w:t>Deux acomptes intermédiaires de 25 % chacun après remise et acceptation du rapport Phase 1 puis rapport intermédiaire phase 2 ainsi que des relevés de dépense</w:t>
      </w:r>
    </w:p>
    <w:p w14:paraId="66337534" w14:textId="77777777" w:rsidR="00060E28" w:rsidRDefault="00AE66FF">
      <w:pPr>
        <w:numPr>
          <w:ilvl w:val="0"/>
          <w:numId w:val="46"/>
        </w:numPr>
        <w:jc w:val="both"/>
      </w:pPr>
      <w:r>
        <w:rPr>
          <w:lang w:val="fr-FR"/>
        </w:rPr>
        <w:t>Le solde de 20 % sera versé après la validation du rapport final et du relevé final de dépenses.</w:t>
      </w:r>
    </w:p>
    <w:p w14:paraId="5F2426B4" w14:textId="77777777" w:rsidR="00060E28" w:rsidRDefault="00060E28"/>
    <w:p w14:paraId="08EDA6EE" w14:textId="77777777" w:rsidR="00060E28" w:rsidRDefault="00AE66FF" w:rsidP="006E24C0">
      <w:pPr>
        <w:pStyle w:val="Style2"/>
        <w:numPr>
          <w:ilvl w:val="1"/>
          <w:numId w:val="60"/>
        </w:numPr>
      </w:pPr>
      <w:bookmarkStart w:id="111" w:name="__RefHeading___Toc5686_3029622120"/>
      <w:bookmarkStart w:id="112" w:name="_Toc23"/>
      <w:bookmarkStart w:id="113" w:name="_Toc97630302"/>
      <w:bookmarkStart w:id="114" w:name="_Toc97665347"/>
      <w:bookmarkStart w:id="115" w:name="_Toc100582424"/>
      <w:r>
        <w:rPr>
          <w:lang w:val="fr-FR"/>
        </w:rPr>
        <w:t>Suivi calendaire</w:t>
      </w:r>
      <w:bookmarkEnd w:id="111"/>
      <w:bookmarkEnd w:id="112"/>
      <w:bookmarkEnd w:id="113"/>
      <w:bookmarkEnd w:id="114"/>
      <w:bookmarkEnd w:id="115"/>
    </w:p>
    <w:p w14:paraId="20299C47" w14:textId="77777777" w:rsidR="00060E28" w:rsidRDefault="00060E28">
      <w:pPr>
        <w:pStyle w:val="Titre3"/>
      </w:pPr>
    </w:p>
    <w:p w14:paraId="775D22E3" w14:textId="77777777" w:rsidR="00060E28" w:rsidRDefault="00AE66FF">
      <w:pPr>
        <w:pStyle w:val="Titre3"/>
        <w:ind w:left="720"/>
      </w:pPr>
      <w:bookmarkStart w:id="116" w:name="__RefHeading___Toc5688_3029622120"/>
      <w:bookmarkStart w:id="117" w:name="_Toc24"/>
      <w:bookmarkStart w:id="118" w:name="_Toc97630303"/>
      <w:bookmarkStart w:id="119" w:name="_Toc97665348"/>
      <w:bookmarkStart w:id="120" w:name="_Toc100582425"/>
      <w:r>
        <w:t>6.4.1.</w:t>
      </w:r>
      <w:r>
        <w:tab/>
        <w:t>1</w:t>
      </w:r>
      <w:r>
        <w:rPr>
          <w:position w:val="7"/>
          <w:lang w:val="fr-FR"/>
        </w:rPr>
        <w:t>er</w:t>
      </w:r>
      <w:r>
        <w:rPr>
          <w:lang w:val="fr-FR"/>
        </w:rPr>
        <w:t xml:space="preserve"> comité de suivi</w:t>
      </w:r>
      <w:bookmarkEnd w:id="116"/>
      <w:bookmarkEnd w:id="117"/>
      <w:bookmarkEnd w:id="118"/>
      <w:bookmarkEnd w:id="119"/>
      <w:bookmarkEnd w:id="120"/>
    </w:p>
    <w:p w14:paraId="4B10492A" w14:textId="77777777" w:rsidR="00060E28" w:rsidRDefault="00060E28"/>
    <w:p w14:paraId="4AD39CE9" w14:textId="77777777" w:rsidR="00060E28" w:rsidRDefault="00AE66FF">
      <w:r>
        <w:rPr>
          <w:lang w:val="fr-FR"/>
        </w:rPr>
        <w:t>Le 1</w:t>
      </w:r>
      <w:r>
        <w:rPr>
          <w:position w:val="7"/>
          <w:lang w:val="fr-FR"/>
        </w:rPr>
        <w:t>er</w:t>
      </w:r>
      <w:r>
        <w:rPr>
          <w:lang w:val="fr-FR"/>
        </w:rPr>
        <w:t xml:space="preserve"> comité de suivi fera l’objet d’une réunion à mi-parcours de la phase 1. Durant cette réunion, le consortium présentera les points suivants :</w:t>
      </w:r>
    </w:p>
    <w:p w14:paraId="33376984" w14:textId="77777777" w:rsidR="00060E28" w:rsidRDefault="00AE66FF">
      <w:pPr>
        <w:numPr>
          <w:ilvl w:val="0"/>
          <w:numId w:val="47"/>
        </w:numPr>
      </w:pPr>
      <w:r>
        <w:rPr>
          <w:lang w:val="fr-FR"/>
        </w:rPr>
        <w:t>Travaux menés,</w:t>
      </w:r>
    </w:p>
    <w:p w14:paraId="6FD7C2BE" w14:textId="77777777" w:rsidR="00060E28" w:rsidRDefault="00AE66FF">
      <w:pPr>
        <w:numPr>
          <w:ilvl w:val="0"/>
          <w:numId w:val="47"/>
        </w:numPr>
      </w:pPr>
      <w:r>
        <w:rPr>
          <w:lang w:val="fr-FR"/>
        </w:rPr>
        <w:t>Avancement du projet,</w:t>
      </w:r>
    </w:p>
    <w:p w14:paraId="4356F267" w14:textId="77777777" w:rsidR="00060E28" w:rsidRDefault="00AE66FF">
      <w:pPr>
        <w:numPr>
          <w:ilvl w:val="0"/>
          <w:numId w:val="47"/>
        </w:numPr>
      </w:pPr>
      <w:r>
        <w:rPr>
          <w:lang w:val="fr-FR"/>
        </w:rPr>
        <w:t>Difficulté du projet,</w:t>
      </w:r>
    </w:p>
    <w:p w14:paraId="799E2B29" w14:textId="77777777" w:rsidR="00060E28" w:rsidRDefault="00AE66FF">
      <w:pPr>
        <w:numPr>
          <w:ilvl w:val="0"/>
          <w:numId w:val="47"/>
        </w:numPr>
      </w:pPr>
      <w:r>
        <w:rPr>
          <w:lang w:val="fr-FR"/>
        </w:rPr>
        <w:lastRenderedPageBreak/>
        <w:t>Suivi du planning,</w:t>
      </w:r>
    </w:p>
    <w:p w14:paraId="43EACA9E" w14:textId="77777777" w:rsidR="00060E28" w:rsidRDefault="00AE66FF">
      <w:pPr>
        <w:numPr>
          <w:ilvl w:val="0"/>
          <w:numId w:val="47"/>
        </w:numPr>
      </w:pPr>
      <w:r>
        <w:rPr>
          <w:lang w:val="fr-FR"/>
        </w:rPr>
        <w:t>Suivi financier.</w:t>
      </w:r>
    </w:p>
    <w:p w14:paraId="216BD9A8" w14:textId="77777777" w:rsidR="00060E28" w:rsidRDefault="00060E28"/>
    <w:p w14:paraId="4189B5BB" w14:textId="77777777" w:rsidR="00060E28" w:rsidRDefault="00AE66FF">
      <w:pPr>
        <w:pStyle w:val="Titre3"/>
      </w:pPr>
      <w:bookmarkStart w:id="121" w:name="__RefHeading___Toc5690_3029622120"/>
      <w:bookmarkStart w:id="122" w:name="_Toc25"/>
      <w:bookmarkStart w:id="123" w:name="_Toc97630304"/>
      <w:bookmarkStart w:id="124" w:name="_Toc97665349"/>
      <w:bookmarkStart w:id="125" w:name="_Toc100582426"/>
      <w:r>
        <w:rPr>
          <w:lang w:val="fr-FR"/>
        </w:rPr>
        <w:t>6.4.2.</w:t>
      </w:r>
      <w:r>
        <w:rPr>
          <w:lang w:val="fr-FR"/>
        </w:rPr>
        <w:tab/>
        <w:t>2</w:t>
      </w:r>
      <w:r>
        <w:rPr>
          <w:position w:val="7"/>
          <w:lang w:val="fr-FR"/>
        </w:rPr>
        <w:t>e</w:t>
      </w:r>
      <w:r>
        <w:rPr>
          <w:lang w:val="fr-FR"/>
        </w:rPr>
        <w:t xml:space="preserve"> comité de suivi et fourniture du 1</w:t>
      </w:r>
      <w:r>
        <w:rPr>
          <w:position w:val="7"/>
          <w:lang w:val="fr-FR"/>
        </w:rPr>
        <w:t>er</w:t>
      </w:r>
      <w:r>
        <w:rPr>
          <w:lang w:val="fr-FR"/>
        </w:rPr>
        <w:t xml:space="preserve"> rapport</w:t>
      </w:r>
      <w:bookmarkEnd w:id="121"/>
      <w:bookmarkEnd w:id="122"/>
      <w:bookmarkEnd w:id="123"/>
      <w:bookmarkEnd w:id="124"/>
      <w:bookmarkEnd w:id="125"/>
    </w:p>
    <w:p w14:paraId="5B0DAD82" w14:textId="77777777" w:rsidR="00060E28" w:rsidRDefault="00060E28"/>
    <w:p w14:paraId="36C6479E" w14:textId="77777777" w:rsidR="00060E28" w:rsidRDefault="00AE66FF">
      <w:pPr>
        <w:jc w:val="both"/>
      </w:pPr>
      <w:r>
        <w:rPr>
          <w:lang w:val="fr-FR"/>
        </w:rPr>
        <w:t>Le 2</w:t>
      </w:r>
      <w:r>
        <w:rPr>
          <w:position w:val="7"/>
          <w:lang w:val="fr-FR"/>
        </w:rPr>
        <w:t>e</w:t>
      </w:r>
      <w:r>
        <w:rPr>
          <w:lang w:val="fr-FR"/>
        </w:rPr>
        <w:t xml:space="preserve"> comité de suivi se tiendra en fin de phase 1. Il fera l’objet d’une réunion qui reprendra les différents points traités lors du 1</w:t>
      </w:r>
      <w:r>
        <w:rPr>
          <w:position w:val="7"/>
          <w:lang w:val="fr-FR"/>
        </w:rPr>
        <w:t>er</w:t>
      </w:r>
      <w:r>
        <w:rPr>
          <w:lang w:val="fr-FR"/>
        </w:rPr>
        <w:t xml:space="preserve"> comité de suivi.</w:t>
      </w:r>
    </w:p>
    <w:p w14:paraId="6FB647BF" w14:textId="77777777" w:rsidR="00060E28" w:rsidRDefault="00060E28">
      <w:pPr>
        <w:jc w:val="both"/>
      </w:pPr>
    </w:p>
    <w:p w14:paraId="3EEB51F0" w14:textId="77777777" w:rsidR="00060E28" w:rsidRDefault="00AE66FF">
      <w:pPr>
        <w:jc w:val="both"/>
      </w:pPr>
      <w:r>
        <w:rPr>
          <w:lang w:val="fr-FR"/>
        </w:rPr>
        <w:t>Un 1</w:t>
      </w:r>
      <w:r>
        <w:rPr>
          <w:position w:val="7"/>
          <w:lang w:val="fr-FR"/>
        </w:rPr>
        <w:t>er</w:t>
      </w:r>
      <w:r>
        <w:rPr>
          <w:lang w:val="fr-FR"/>
        </w:rPr>
        <w:t xml:space="preserve"> rapport sera transmis au moins 10 jours avant la réunion. Il s’agira d’un pré-rapport son sommaire s’inspirera du sommaire attendu pour le rapport final avec une longueur réduite.</w:t>
      </w:r>
    </w:p>
    <w:p w14:paraId="64B33F39" w14:textId="77777777" w:rsidR="00060E28" w:rsidRDefault="00060E28">
      <w:pPr>
        <w:jc w:val="both"/>
      </w:pPr>
    </w:p>
    <w:p w14:paraId="4B8D6225" w14:textId="77777777" w:rsidR="00060E28" w:rsidRDefault="00AE66FF">
      <w:pPr>
        <w:jc w:val="both"/>
      </w:pPr>
      <w:r>
        <w:rPr>
          <w:lang w:val="fr-FR"/>
        </w:rPr>
        <w:t>Le comité de suivi pourra demander des compléments ou des ajustements. Le cas échéant la nouvelle version sera remise dans les 15 jours suivants la réunion.</w:t>
      </w:r>
    </w:p>
    <w:p w14:paraId="09FB09A0" w14:textId="5BB90861" w:rsidR="00060E28" w:rsidRDefault="00060E28"/>
    <w:p w14:paraId="64834E4C" w14:textId="77777777" w:rsidR="00C47017" w:rsidRDefault="00C47017"/>
    <w:p w14:paraId="2EFFB410" w14:textId="77777777" w:rsidR="00060E28" w:rsidRDefault="00AE66FF">
      <w:pPr>
        <w:pStyle w:val="Titre3"/>
      </w:pPr>
      <w:bookmarkStart w:id="126" w:name="__RefHeading___Toc5692_3029622120"/>
      <w:bookmarkStart w:id="127" w:name="_Toc26"/>
      <w:bookmarkStart w:id="128" w:name="_Toc97630305"/>
      <w:bookmarkStart w:id="129" w:name="_Toc97665350"/>
      <w:bookmarkStart w:id="130" w:name="_Toc100582427"/>
      <w:r>
        <w:rPr>
          <w:lang w:val="fr-FR"/>
        </w:rPr>
        <w:t>6.4.3.</w:t>
      </w:r>
      <w:r>
        <w:rPr>
          <w:lang w:val="fr-FR"/>
        </w:rPr>
        <w:tab/>
        <w:t>3</w:t>
      </w:r>
      <w:r>
        <w:rPr>
          <w:position w:val="7"/>
          <w:lang w:val="fr-FR"/>
        </w:rPr>
        <w:t>e</w:t>
      </w:r>
      <w:r>
        <w:rPr>
          <w:lang w:val="fr-FR"/>
        </w:rPr>
        <w:t xml:space="preserve"> comité de suivi et fourniture du 2</w:t>
      </w:r>
      <w:r>
        <w:rPr>
          <w:position w:val="7"/>
          <w:lang w:val="fr-FR"/>
        </w:rPr>
        <w:t>e</w:t>
      </w:r>
      <w:r>
        <w:rPr>
          <w:lang w:val="fr-FR"/>
        </w:rPr>
        <w:t xml:space="preserve"> rapport</w:t>
      </w:r>
      <w:bookmarkEnd w:id="126"/>
      <w:bookmarkEnd w:id="127"/>
      <w:bookmarkEnd w:id="128"/>
      <w:bookmarkEnd w:id="129"/>
      <w:bookmarkEnd w:id="130"/>
    </w:p>
    <w:p w14:paraId="22ABA946" w14:textId="77777777" w:rsidR="00060E28" w:rsidRDefault="00060E28"/>
    <w:p w14:paraId="2E89A5A4" w14:textId="77777777" w:rsidR="00060E28" w:rsidRDefault="00AE66FF">
      <w:pPr>
        <w:jc w:val="both"/>
      </w:pPr>
      <w:r>
        <w:rPr>
          <w:lang w:val="fr-FR"/>
        </w:rPr>
        <w:t>Le 3</w:t>
      </w:r>
      <w:r>
        <w:rPr>
          <w:position w:val="7"/>
          <w:lang w:val="fr-FR"/>
        </w:rPr>
        <w:t>e</w:t>
      </w:r>
      <w:r>
        <w:rPr>
          <w:lang w:val="fr-FR"/>
        </w:rPr>
        <w:t xml:space="preserve"> comité de suivi se tiendra à mi-parcours de la phase 2. Il fera l’objet d’une réunion qui reprendra les différents points traités lors des précédents comités.</w:t>
      </w:r>
    </w:p>
    <w:p w14:paraId="71A45BCB" w14:textId="77777777" w:rsidR="00060E28" w:rsidRDefault="00060E28"/>
    <w:p w14:paraId="49626512" w14:textId="77777777" w:rsidR="00060E28" w:rsidRDefault="00AE66FF">
      <w:pPr>
        <w:jc w:val="both"/>
      </w:pPr>
      <w:r>
        <w:rPr>
          <w:lang w:val="fr-FR"/>
        </w:rPr>
        <w:t>Un 2</w:t>
      </w:r>
      <w:r>
        <w:rPr>
          <w:position w:val="7"/>
          <w:lang w:val="fr-FR"/>
        </w:rPr>
        <w:t>e</w:t>
      </w:r>
      <w:r>
        <w:rPr>
          <w:lang w:val="fr-FR"/>
        </w:rPr>
        <w:t xml:space="preserve"> rapport sera transmis au moins 10 jours avant la réunion. Il s’agira du pré-rapport actualisé.</w:t>
      </w:r>
    </w:p>
    <w:p w14:paraId="5ECC33C9" w14:textId="77777777" w:rsidR="00060E28" w:rsidRDefault="00060E28">
      <w:pPr>
        <w:jc w:val="both"/>
      </w:pPr>
    </w:p>
    <w:p w14:paraId="5AEB9476" w14:textId="77777777" w:rsidR="00060E28" w:rsidRDefault="00AE66FF">
      <w:pPr>
        <w:jc w:val="both"/>
      </w:pPr>
      <w:r>
        <w:rPr>
          <w:lang w:val="fr-FR"/>
        </w:rPr>
        <w:t>Le comité de suivi pourra demander des compléments ou des ajustements. Le cas échéant la nouvelle version sera remise dans les 15 jours suivants la réunion.</w:t>
      </w:r>
    </w:p>
    <w:p w14:paraId="1AAB6908" w14:textId="77777777" w:rsidR="00060E28" w:rsidRDefault="00060E28"/>
    <w:p w14:paraId="3CE91C8B" w14:textId="77777777" w:rsidR="00060E28" w:rsidRDefault="00AE66FF">
      <w:pPr>
        <w:pStyle w:val="Titre3"/>
      </w:pPr>
      <w:bookmarkStart w:id="131" w:name="__RefHeading___Toc5694_3029622120"/>
      <w:bookmarkStart w:id="132" w:name="_Toc27"/>
      <w:bookmarkStart w:id="133" w:name="_Toc97630306"/>
      <w:bookmarkStart w:id="134" w:name="_Toc97665351"/>
      <w:bookmarkStart w:id="135" w:name="_Toc100582428"/>
      <w:r>
        <w:rPr>
          <w:lang w:val="fr-FR"/>
        </w:rPr>
        <w:t xml:space="preserve">6.4.4. </w:t>
      </w:r>
      <w:r>
        <w:rPr>
          <w:lang w:val="fr-FR"/>
        </w:rPr>
        <w:tab/>
        <w:t>4</w:t>
      </w:r>
      <w:r>
        <w:rPr>
          <w:position w:val="7"/>
          <w:lang w:val="fr-FR"/>
        </w:rPr>
        <w:t>e</w:t>
      </w:r>
      <w:r>
        <w:rPr>
          <w:lang w:val="fr-FR"/>
        </w:rPr>
        <w:t xml:space="preserve"> comité de suivi et fourniture du rapport final</w:t>
      </w:r>
      <w:bookmarkEnd w:id="131"/>
      <w:bookmarkEnd w:id="132"/>
      <w:bookmarkEnd w:id="133"/>
      <w:bookmarkEnd w:id="134"/>
      <w:bookmarkEnd w:id="135"/>
    </w:p>
    <w:p w14:paraId="55F8C2A8" w14:textId="77777777" w:rsidR="00060E28" w:rsidRDefault="00060E28"/>
    <w:p w14:paraId="43508FC8" w14:textId="77777777" w:rsidR="00060E28" w:rsidRDefault="00AE66FF">
      <w:pPr>
        <w:jc w:val="both"/>
      </w:pPr>
      <w:r>
        <w:rPr>
          <w:lang w:val="fr-FR"/>
        </w:rPr>
        <w:t>Le 3</w:t>
      </w:r>
      <w:r>
        <w:rPr>
          <w:position w:val="7"/>
          <w:lang w:val="fr-FR"/>
        </w:rPr>
        <w:t>e</w:t>
      </w:r>
      <w:r>
        <w:rPr>
          <w:lang w:val="fr-FR"/>
        </w:rPr>
        <w:t xml:space="preserve"> comité de suivi se tiendra en fin de phase 2. Il fera l’objet d’une réunion qui reprendra les différents points traités lors des précédents comités.</w:t>
      </w:r>
    </w:p>
    <w:p w14:paraId="04A8C2F4" w14:textId="77777777" w:rsidR="00060E28" w:rsidRDefault="00060E28">
      <w:pPr>
        <w:jc w:val="both"/>
      </w:pPr>
    </w:p>
    <w:p w14:paraId="594BAF34" w14:textId="77777777" w:rsidR="00060E28" w:rsidRDefault="00AE66FF">
      <w:pPr>
        <w:jc w:val="both"/>
      </w:pPr>
      <w:r>
        <w:rPr>
          <w:lang w:val="fr-FR"/>
        </w:rPr>
        <w:t>Le rapport final sera transmis au moins 15 jours avant la réunion. Les éléments composant le rapport final sont décrits dans le paragraphe 13. Le comité de suivi pourra demander des compléments ou des ajustements. Le cas échéant, la nouvelle version sera remise dans les 30 jours suivants la réunion.</w:t>
      </w:r>
    </w:p>
    <w:p w14:paraId="478D504E" w14:textId="77777777" w:rsidR="00060E28" w:rsidRDefault="00060E28"/>
    <w:p w14:paraId="134EA831" w14:textId="77777777" w:rsidR="00060E28" w:rsidRDefault="00060E28"/>
    <w:p w14:paraId="4B9709D6" w14:textId="77777777" w:rsidR="00060E28" w:rsidRDefault="00AE66FF" w:rsidP="006E24C0">
      <w:pPr>
        <w:pStyle w:val="Style2"/>
        <w:numPr>
          <w:ilvl w:val="1"/>
          <w:numId w:val="60"/>
        </w:numPr>
      </w:pPr>
      <w:bookmarkStart w:id="136" w:name="__RefHeading___Toc5613_3029622120"/>
      <w:bookmarkStart w:id="137" w:name="_Toc28"/>
      <w:bookmarkStart w:id="138" w:name="_Toc97630307"/>
      <w:bookmarkStart w:id="139" w:name="_Toc97665352"/>
      <w:bookmarkStart w:id="140" w:name="_Toc100582429"/>
      <w:r>
        <w:rPr>
          <w:lang w:val="fr-FR"/>
        </w:rPr>
        <w:t>Rapport final</w:t>
      </w:r>
      <w:bookmarkEnd w:id="136"/>
      <w:bookmarkEnd w:id="137"/>
      <w:bookmarkEnd w:id="138"/>
      <w:bookmarkEnd w:id="139"/>
      <w:bookmarkEnd w:id="140"/>
    </w:p>
    <w:p w14:paraId="7C612CC2" w14:textId="77777777" w:rsidR="00060E28" w:rsidRDefault="00060E28"/>
    <w:p w14:paraId="36FEFC66" w14:textId="77777777" w:rsidR="00060E28" w:rsidRDefault="00AE66FF">
      <w:pPr>
        <w:jc w:val="both"/>
      </w:pPr>
      <w:r>
        <w:rPr>
          <w:lang w:val="fr-FR"/>
        </w:rPr>
        <w:t>Il est attendu un rapport conclusif qui établira à partir des éléments du dossier de projet présenté à l’appel à candidature les résultats et avancées obtenues.</w:t>
      </w:r>
    </w:p>
    <w:p w14:paraId="6F259A83" w14:textId="77777777" w:rsidR="00060E28" w:rsidRDefault="00060E28">
      <w:pPr>
        <w:jc w:val="both"/>
      </w:pPr>
    </w:p>
    <w:p w14:paraId="10A57C0B" w14:textId="77777777" w:rsidR="00060E28" w:rsidRDefault="00AE66FF">
      <w:pPr>
        <w:jc w:val="both"/>
      </w:pPr>
      <w:r>
        <w:rPr>
          <w:lang w:val="fr-FR"/>
        </w:rPr>
        <w:t>Le rapport sera d’une longueur minimale de 10 000 mots (environ 20 pages A4 en Arial 11 pts), rédigé uniquement en français, remis au format PDF et d’une longueur maximale de 20 000 mots. Des annexes complémentaires permettront d’y adjoindre tous les éléments nécessaires à la bonne compréhension du rapport.</w:t>
      </w:r>
    </w:p>
    <w:p w14:paraId="37946D91" w14:textId="77777777" w:rsidR="00060E28" w:rsidRDefault="00060E28">
      <w:pPr>
        <w:jc w:val="both"/>
      </w:pPr>
    </w:p>
    <w:p w14:paraId="543C16A9" w14:textId="77777777" w:rsidR="00060E28" w:rsidRDefault="00AE66FF">
      <w:pPr>
        <w:jc w:val="both"/>
      </w:pPr>
      <w:r>
        <w:rPr>
          <w:lang w:val="fr-FR"/>
        </w:rPr>
        <w:t>Il comprendra :</w:t>
      </w:r>
    </w:p>
    <w:p w14:paraId="203E3A12" w14:textId="77777777" w:rsidR="00060E28" w:rsidRDefault="00AE66FF">
      <w:pPr>
        <w:numPr>
          <w:ilvl w:val="0"/>
          <w:numId w:val="48"/>
        </w:numPr>
        <w:jc w:val="both"/>
      </w:pPr>
      <w:r>
        <w:rPr>
          <w:lang w:val="fr-FR"/>
        </w:rPr>
        <w:t>La description succincte du projet initial avec ses principales ambitions,</w:t>
      </w:r>
    </w:p>
    <w:p w14:paraId="0E4694DE" w14:textId="77777777" w:rsidR="00060E28" w:rsidRDefault="00AE66FF">
      <w:pPr>
        <w:numPr>
          <w:ilvl w:val="0"/>
          <w:numId w:val="48"/>
        </w:numPr>
        <w:jc w:val="both"/>
      </w:pPr>
      <w:r>
        <w:rPr>
          <w:lang w:val="fr-FR"/>
        </w:rPr>
        <w:t>Les livrables (preuve de concept, rapports d’essais, publications, etc.) produits qui seront joints en annexe,</w:t>
      </w:r>
    </w:p>
    <w:p w14:paraId="44C9B156" w14:textId="77777777" w:rsidR="00060E28" w:rsidRDefault="00AE66FF">
      <w:pPr>
        <w:numPr>
          <w:ilvl w:val="0"/>
          <w:numId w:val="48"/>
        </w:numPr>
        <w:jc w:val="both"/>
      </w:pPr>
      <w:r>
        <w:rPr>
          <w:lang w:val="fr-FR"/>
        </w:rPr>
        <w:t>Les principaux résultats et avancées obtenues, leur validation, l’écart aux prétentions initiales, les raisons de ces écarts,</w:t>
      </w:r>
    </w:p>
    <w:p w14:paraId="08A4FBEC" w14:textId="77777777" w:rsidR="00060E28" w:rsidRDefault="00AE66FF">
      <w:pPr>
        <w:numPr>
          <w:ilvl w:val="0"/>
          <w:numId w:val="48"/>
        </w:numPr>
        <w:jc w:val="both"/>
      </w:pPr>
      <w:r>
        <w:rPr>
          <w:lang w:val="fr-FR"/>
        </w:rPr>
        <w:t>Les développements à poursuivre, les verrous technologiques à lever,</w:t>
      </w:r>
    </w:p>
    <w:p w14:paraId="3C6151BE" w14:textId="77777777" w:rsidR="00060E28" w:rsidRDefault="00AE66FF">
      <w:pPr>
        <w:numPr>
          <w:ilvl w:val="0"/>
          <w:numId w:val="48"/>
        </w:numPr>
        <w:jc w:val="both"/>
      </w:pPr>
      <w:r>
        <w:rPr>
          <w:lang w:val="fr-FR"/>
        </w:rPr>
        <w:t>Les potentialités de développement actualisés, l’échelle de temps pour leur industrialisation,</w:t>
      </w:r>
    </w:p>
    <w:p w14:paraId="7C89CB06" w14:textId="77777777" w:rsidR="00060E28" w:rsidRDefault="00AE66FF">
      <w:pPr>
        <w:numPr>
          <w:ilvl w:val="0"/>
          <w:numId w:val="48"/>
        </w:numPr>
        <w:jc w:val="both"/>
        <w:rPr>
          <w:lang w:val="fr-FR"/>
        </w:rPr>
      </w:pPr>
      <w:r>
        <w:rPr>
          <w:lang w:val="fr-FR"/>
        </w:rPr>
        <w:t>Le retour d’expérience du projet qui répondra aux questions suivantes, en intégrant systématiquement des considérations liées au contexte portuaires :</w:t>
      </w:r>
    </w:p>
    <w:p w14:paraId="4D3E9FB0" w14:textId="77777777" w:rsidR="00060E28" w:rsidRDefault="00060E28">
      <w:pPr>
        <w:pageBreakBefore/>
        <w:suppressAutoHyphens w:val="0"/>
        <w:rPr>
          <w:lang w:val="fr-FR"/>
        </w:rPr>
      </w:pPr>
    </w:p>
    <w:p w14:paraId="4D573100" w14:textId="77777777" w:rsidR="00060E28" w:rsidRDefault="00AE66FF">
      <w:pPr>
        <w:jc w:val="both"/>
      </w:pPr>
      <w:r>
        <w:rPr>
          <w:b/>
          <w:lang w:val="fr-FR"/>
        </w:rPr>
        <w:t>1 Forme du rendu de l’instrumentation</w:t>
      </w:r>
    </w:p>
    <w:p w14:paraId="24FFA125" w14:textId="77777777" w:rsidR="00060E28" w:rsidRDefault="00AE66FF">
      <w:pPr>
        <w:numPr>
          <w:ilvl w:val="0"/>
          <w:numId w:val="49"/>
        </w:numPr>
        <w:jc w:val="both"/>
      </w:pPr>
      <w:r>
        <w:rPr>
          <w:lang w:val="fr-FR"/>
        </w:rPr>
        <w:t>Sous quelle forme les mesures enregistrées ont-elles été restituées à la Région Bretagne. Quelles améliorations sont à prévoir ?</w:t>
      </w:r>
    </w:p>
    <w:p w14:paraId="7DD5E19A" w14:textId="77777777" w:rsidR="00060E28" w:rsidRDefault="00060E28"/>
    <w:p w14:paraId="113CD6FF" w14:textId="77777777" w:rsidR="00060E28" w:rsidRDefault="00AE66FF">
      <w:r>
        <w:rPr>
          <w:b/>
          <w:lang w:val="fr-FR"/>
        </w:rPr>
        <w:t>2 Disponibilités et durée de vie du dispositif</w:t>
      </w:r>
    </w:p>
    <w:p w14:paraId="6610A676" w14:textId="77777777" w:rsidR="00060E28" w:rsidRDefault="00AE66FF">
      <w:pPr>
        <w:numPr>
          <w:ilvl w:val="0"/>
          <w:numId w:val="50"/>
        </w:numPr>
        <w:jc w:val="both"/>
      </w:pPr>
      <w:r>
        <w:rPr>
          <w:lang w:val="fr-FR"/>
        </w:rPr>
        <w:t>Quelle a été la durée pendant laquelle le dispositif est resté en place sur l’ouvrage ?</w:t>
      </w:r>
    </w:p>
    <w:p w14:paraId="27CEF50E" w14:textId="77777777" w:rsidR="00060E28" w:rsidRDefault="00AE66FF">
      <w:pPr>
        <w:numPr>
          <w:ilvl w:val="0"/>
          <w:numId w:val="50"/>
        </w:numPr>
        <w:jc w:val="both"/>
      </w:pPr>
      <w:r>
        <w:rPr>
          <w:lang w:val="fr-FR"/>
        </w:rPr>
        <w:t>Quelle a été la durée de mise en place du dispositif sur site ? Le nombre d’interventions sur site pour maintenance ?</w:t>
      </w:r>
    </w:p>
    <w:p w14:paraId="499BDB0C" w14:textId="77777777" w:rsidR="00060E28" w:rsidRDefault="00AE66FF">
      <w:pPr>
        <w:numPr>
          <w:ilvl w:val="0"/>
          <w:numId w:val="50"/>
        </w:numPr>
        <w:jc w:val="both"/>
      </w:pPr>
      <w:r>
        <w:rPr>
          <w:lang w:val="fr-FR"/>
        </w:rPr>
        <w:t>L’installation a-t-elle fait l’objet de dégradations volontaires ou involontaires ?</w:t>
      </w:r>
    </w:p>
    <w:p w14:paraId="7B2F47B4" w14:textId="77777777" w:rsidR="00060E28" w:rsidRDefault="00AE66FF">
      <w:pPr>
        <w:numPr>
          <w:ilvl w:val="0"/>
          <w:numId w:val="50"/>
        </w:numPr>
        <w:jc w:val="both"/>
      </w:pPr>
      <w:r>
        <w:rPr>
          <w:lang w:val="fr-FR"/>
        </w:rPr>
        <w:t>Quelle a été la durée cumulée des interruptions d’acquisition des données ? De transmission des données ?</w:t>
      </w:r>
    </w:p>
    <w:p w14:paraId="5FDEB741" w14:textId="77777777" w:rsidR="00060E28" w:rsidRDefault="00AE66FF">
      <w:pPr>
        <w:numPr>
          <w:ilvl w:val="0"/>
          <w:numId w:val="50"/>
        </w:numPr>
        <w:jc w:val="both"/>
      </w:pPr>
      <w:r>
        <w:rPr>
          <w:lang w:val="fr-FR"/>
        </w:rPr>
        <w:t>A la clôture du projet, à quelle durée de vie résiduelle estimez-vous l’installation mise en place ? (</w:t>
      </w:r>
      <w:proofErr w:type="gramStart"/>
      <w:r>
        <w:rPr>
          <w:lang w:val="fr-FR"/>
        </w:rPr>
        <w:t>à</w:t>
      </w:r>
      <w:proofErr w:type="gramEnd"/>
      <w:r>
        <w:rPr>
          <w:lang w:val="fr-FR"/>
        </w:rPr>
        <w:t xml:space="preserve"> détailler par composants : capteurs, centrale d’acquisition, moyens de communication, outils d’analyse)</w:t>
      </w:r>
    </w:p>
    <w:p w14:paraId="7E2923FB" w14:textId="77777777" w:rsidR="00060E28" w:rsidRDefault="00060E28"/>
    <w:p w14:paraId="0B565F8E" w14:textId="77777777" w:rsidR="00060E28" w:rsidRDefault="00AE66FF">
      <w:r>
        <w:rPr>
          <w:b/>
          <w:lang w:val="fr-FR"/>
        </w:rPr>
        <w:t>3 Coût de l’installation effectivement mise en place</w:t>
      </w:r>
    </w:p>
    <w:p w14:paraId="0B9C785F" w14:textId="77777777" w:rsidR="00060E28" w:rsidRDefault="00AE66FF">
      <w:pPr>
        <w:numPr>
          <w:ilvl w:val="0"/>
          <w:numId w:val="51"/>
        </w:numPr>
      </w:pPr>
      <w:r>
        <w:rPr>
          <w:lang w:val="fr-FR"/>
        </w:rPr>
        <w:t>Coût initial hors recherche et développement (y compris moyens d’accès),</w:t>
      </w:r>
    </w:p>
    <w:p w14:paraId="0CC28751" w14:textId="77777777" w:rsidR="00060E28" w:rsidRDefault="00AE66FF">
      <w:pPr>
        <w:numPr>
          <w:ilvl w:val="0"/>
          <w:numId w:val="51"/>
        </w:numPr>
      </w:pPr>
      <w:r>
        <w:rPr>
          <w:lang w:val="fr-FR"/>
        </w:rPr>
        <w:t>Coût de maintenance constaté (sur site et au siège),</w:t>
      </w:r>
    </w:p>
    <w:p w14:paraId="1DCDE7C0" w14:textId="77777777" w:rsidR="00060E28" w:rsidRDefault="00AE66FF">
      <w:pPr>
        <w:numPr>
          <w:ilvl w:val="0"/>
          <w:numId w:val="51"/>
        </w:numPr>
      </w:pPr>
      <w:r>
        <w:rPr>
          <w:lang w:val="fr-FR"/>
        </w:rPr>
        <w:t>Coûts de fonctionnement constatés (transmission, stockage des données, exploitation des mesures).</w:t>
      </w:r>
    </w:p>
    <w:p w14:paraId="7F406280" w14:textId="77777777" w:rsidR="00060E28" w:rsidRDefault="00060E28"/>
    <w:p w14:paraId="640FB9B7" w14:textId="77777777" w:rsidR="00060E28" w:rsidRDefault="00AE66FF">
      <w:r>
        <w:rPr>
          <w:b/>
          <w:lang w:val="fr-FR"/>
        </w:rPr>
        <w:t>4 Place de l’instrumentation dans la gestion des ouvrages</w:t>
      </w:r>
    </w:p>
    <w:p w14:paraId="4A548D01" w14:textId="77777777" w:rsidR="00060E28" w:rsidRDefault="00AE66FF">
      <w:pPr>
        <w:numPr>
          <w:ilvl w:val="0"/>
          <w:numId w:val="52"/>
        </w:numPr>
        <w:jc w:val="both"/>
      </w:pPr>
      <w:r>
        <w:rPr>
          <w:lang w:val="fr-FR"/>
        </w:rPr>
        <w:t>Pour le (ou les) ouvrages instrumentés, quelle place donnez-vous à l’instrumentation réalisée dans les processus de gestion actuels de ces ouvrages ?</w:t>
      </w:r>
    </w:p>
    <w:p w14:paraId="28B22BF1" w14:textId="77777777" w:rsidR="00060E28" w:rsidRDefault="00AE66FF">
      <w:pPr>
        <w:numPr>
          <w:ilvl w:val="0"/>
          <w:numId w:val="52"/>
        </w:numPr>
        <w:jc w:val="both"/>
      </w:pPr>
      <w:r>
        <w:rPr>
          <w:lang w:val="fr-FR"/>
        </w:rPr>
        <w:t>Quelles modifications des méthodes de gestion des ouvrages vous paraissent souhaitables pour tirer pleinement parti de cette instrumentation en analysant le rapport coût/bénéfice de l’instrumentation ?</w:t>
      </w:r>
    </w:p>
    <w:p w14:paraId="564C8874" w14:textId="77777777" w:rsidR="00060E28" w:rsidRDefault="00060E28"/>
    <w:p w14:paraId="511BA40E" w14:textId="77777777" w:rsidR="00060E28" w:rsidRDefault="00AE66FF">
      <w:r>
        <w:rPr>
          <w:b/>
          <w:lang w:val="fr-FR"/>
        </w:rPr>
        <w:t>5 Bénéfice collectif</w:t>
      </w:r>
    </w:p>
    <w:p w14:paraId="2C7185BA" w14:textId="77777777" w:rsidR="00060E28" w:rsidRDefault="00AE66FF">
      <w:pPr>
        <w:numPr>
          <w:ilvl w:val="0"/>
          <w:numId w:val="53"/>
        </w:numPr>
        <w:jc w:val="both"/>
      </w:pPr>
      <w:r>
        <w:rPr>
          <w:lang w:val="fr-FR"/>
        </w:rPr>
        <w:t>Quelles méthodes et résultats sont suffisamment généralisables (non liés au savoir-faire exclusif d’une entreprise) pour justifier une modification de la réglementation ou des règles de l’art en matière de gestion de patrimoines d’ouvrages.</w:t>
      </w:r>
    </w:p>
    <w:p w14:paraId="1A2405D7" w14:textId="77777777" w:rsidR="00060E28" w:rsidRDefault="00060E28"/>
    <w:p w14:paraId="7300D7B4" w14:textId="77777777" w:rsidR="00060E28" w:rsidRDefault="00AE66FF">
      <w:pPr>
        <w:jc w:val="both"/>
      </w:pPr>
      <w:r>
        <w:rPr>
          <w:lang w:val="fr-FR"/>
        </w:rPr>
        <w:t>Nota Bene n°1 : en fonction des thématiques traitées certains points ou certaines questions pourront s’avérer être sans objet.</w:t>
      </w:r>
    </w:p>
    <w:p w14:paraId="026002FD" w14:textId="77777777" w:rsidR="00060E28" w:rsidRDefault="00060E28"/>
    <w:p w14:paraId="385F5B48" w14:textId="77777777" w:rsidR="00060E28" w:rsidRDefault="00AE66FF" w:rsidP="006E24C0">
      <w:pPr>
        <w:pStyle w:val="Style2"/>
        <w:numPr>
          <w:ilvl w:val="1"/>
          <w:numId w:val="60"/>
        </w:numPr>
      </w:pPr>
      <w:bookmarkStart w:id="141" w:name="__RefHeading___Toc5696_3029622120"/>
      <w:bookmarkStart w:id="142" w:name="_Toc29"/>
      <w:bookmarkStart w:id="143" w:name="_Toc97630308"/>
      <w:bookmarkStart w:id="144" w:name="_Toc97665353"/>
      <w:bookmarkStart w:id="145" w:name="_Toc100582430"/>
      <w:r>
        <w:rPr>
          <w:lang w:val="fr-FR"/>
        </w:rPr>
        <w:t>Perspective</w:t>
      </w:r>
      <w:bookmarkEnd w:id="141"/>
      <w:bookmarkEnd w:id="142"/>
      <w:bookmarkEnd w:id="143"/>
      <w:bookmarkEnd w:id="144"/>
      <w:bookmarkEnd w:id="145"/>
    </w:p>
    <w:p w14:paraId="3D3DBBEA" w14:textId="77777777" w:rsidR="00060E28" w:rsidRDefault="00060E28">
      <w:pPr>
        <w:jc w:val="both"/>
      </w:pPr>
    </w:p>
    <w:p w14:paraId="045ED9ED" w14:textId="77777777" w:rsidR="00060E28" w:rsidRDefault="00AE66FF">
      <w:r>
        <w:rPr>
          <w:lang w:val="fr-FR"/>
        </w:rPr>
        <w:t>Dans le cas où le projet s’avère concluant, la Région Bretagne pourra envisager de prolonger l’expérimentation dans le cadre d’une nouvelle convention avec le consortium.</w:t>
      </w:r>
    </w:p>
    <w:p w14:paraId="45DB0B60" w14:textId="77777777" w:rsidR="00060E28" w:rsidRDefault="00060E28"/>
    <w:p w14:paraId="4360550B" w14:textId="0F027C4B" w:rsidR="00060E28" w:rsidRDefault="000C4BB7" w:rsidP="000C4BB7">
      <w:pPr>
        <w:pStyle w:val="Style1"/>
        <w:numPr>
          <w:ilvl w:val="1"/>
          <w:numId w:val="8"/>
        </w:numPr>
        <w:outlineLvl w:val="0"/>
      </w:pPr>
      <w:bookmarkStart w:id="146" w:name="_Toc100582431"/>
      <w:r>
        <w:t>Communication</w:t>
      </w:r>
      <w:bookmarkEnd w:id="146"/>
    </w:p>
    <w:p w14:paraId="61AB4F4D" w14:textId="77777777" w:rsidR="00060E28" w:rsidRDefault="00AE66FF">
      <w:pPr>
        <w:pStyle w:val="Paragraphedeliste"/>
        <w:numPr>
          <w:ilvl w:val="0"/>
          <w:numId w:val="60"/>
        </w:numPr>
        <w:rPr>
          <w:rFonts w:ascii="Calibri Light" w:eastAsia="Calibri Light" w:hAnsi="Calibri Light" w:cs="Calibri Light"/>
          <w:vanish/>
          <w:color w:val="2F5496"/>
          <w:sz w:val="26"/>
        </w:rPr>
      </w:pPr>
      <w:bookmarkStart w:id="147" w:name="_Toc31"/>
      <w:bookmarkStart w:id="148" w:name="_Toc97630310"/>
      <w:bookmarkStart w:id="149" w:name="_Toc97665355"/>
      <w:r>
        <w:rPr>
          <w:rFonts w:ascii="Calibri Light" w:eastAsia="Calibri Light" w:hAnsi="Calibri Light" w:cs="Calibri Light"/>
          <w:vanish/>
          <w:color w:val="2F5496"/>
          <w:sz w:val="26"/>
        </w:rPr>
        <w:t>Communication</w:t>
      </w:r>
    </w:p>
    <w:p w14:paraId="040E21AE" w14:textId="77777777" w:rsidR="00060E28" w:rsidRDefault="00AE66FF" w:rsidP="006E24C0">
      <w:pPr>
        <w:pStyle w:val="Style2"/>
        <w:numPr>
          <w:ilvl w:val="1"/>
          <w:numId w:val="60"/>
        </w:numPr>
      </w:pPr>
      <w:bookmarkStart w:id="150" w:name="_Toc100582432"/>
      <w:r>
        <w:t>Obligation standard</w:t>
      </w:r>
      <w:bookmarkEnd w:id="147"/>
      <w:bookmarkEnd w:id="148"/>
      <w:bookmarkEnd w:id="149"/>
      <w:bookmarkEnd w:id="150"/>
    </w:p>
    <w:p w14:paraId="2D2EC87C" w14:textId="77777777" w:rsidR="00060E28" w:rsidRDefault="00060E28"/>
    <w:p w14:paraId="76CE0054" w14:textId="77777777" w:rsidR="00060E28" w:rsidRDefault="00AE66FF">
      <w:r>
        <w:rPr>
          <w:lang w:val="fr-FR"/>
        </w:rPr>
        <w:t>Le bénéficiaire s’engage, selon la nature de son projet et/ou de son activité, à faire mention de “</w:t>
      </w:r>
      <w:r>
        <w:rPr>
          <w:b/>
          <w:lang w:val="fr-FR"/>
        </w:rPr>
        <w:t>avec le soutien de la Région Bretagne</w:t>
      </w:r>
      <w:r>
        <w:rPr>
          <w:lang w:val="fr-FR"/>
        </w:rPr>
        <w:t>” et/ou à intégrer le logo de la Région :</w:t>
      </w:r>
    </w:p>
    <w:p w14:paraId="57EF9B10" w14:textId="77777777" w:rsidR="00060E28" w:rsidRDefault="00AE66FF">
      <w:pPr>
        <w:pStyle w:val="Paragraphedeliste"/>
        <w:numPr>
          <w:ilvl w:val="0"/>
          <w:numId w:val="54"/>
        </w:numPr>
      </w:pPr>
      <w:proofErr w:type="gramStart"/>
      <w:r>
        <w:rPr>
          <w:lang w:val="fr-FR"/>
        </w:rPr>
        <w:t>aux</w:t>
      </w:r>
      <w:proofErr w:type="gramEnd"/>
      <w:r>
        <w:rPr>
          <w:lang w:val="fr-FR"/>
        </w:rPr>
        <w:t xml:space="preserve"> documents </w:t>
      </w:r>
      <w:r>
        <w:rPr>
          <w:b/>
          <w:lang w:val="fr-FR"/>
        </w:rPr>
        <w:t xml:space="preserve">officiels, </w:t>
      </w:r>
      <w:r>
        <w:rPr>
          <w:lang w:val="fr-FR"/>
        </w:rPr>
        <w:t xml:space="preserve">publications en lien avec le projet subventionné </w:t>
      </w:r>
      <w:r>
        <w:rPr>
          <w:i/>
          <w:lang w:val="fr-FR"/>
        </w:rPr>
        <w:t xml:space="preserve">( ex : bilan, diaporama, etc.) </w:t>
      </w:r>
      <w:r>
        <w:rPr>
          <w:lang w:val="fr-FR"/>
        </w:rPr>
        <w:t>;</w:t>
      </w:r>
    </w:p>
    <w:p w14:paraId="1E1C9B18" w14:textId="77777777" w:rsidR="00060E28" w:rsidRDefault="00AE66FF">
      <w:pPr>
        <w:pStyle w:val="Paragraphedeliste"/>
        <w:numPr>
          <w:ilvl w:val="0"/>
          <w:numId w:val="54"/>
        </w:numPr>
      </w:pPr>
      <w:proofErr w:type="gramStart"/>
      <w:r>
        <w:rPr>
          <w:lang w:val="fr-FR"/>
        </w:rPr>
        <w:t>aux</w:t>
      </w:r>
      <w:proofErr w:type="gramEnd"/>
      <w:r>
        <w:rPr>
          <w:lang w:val="fr-FR"/>
        </w:rPr>
        <w:t xml:space="preserve"> </w:t>
      </w:r>
      <w:r>
        <w:rPr>
          <w:b/>
          <w:lang w:val="fr-FR"/>
        </w:rPr>
        <w:t xml:space="preserve">supports de communication </w:t>
      </w:r>
      <w:r>
        <w:rPr>
          <w:lang w:val="fr-FR"/>
        </w:rPr>
        <w:t xml:space="preserve">en lien avec l’opération </w:t>
      </w:r>
      <w:r>
        <w:rPr>
          <w:i/>
          <w:lang w:val="fr-FR"/>
        </w:rPr>
        <w:t xml:space="preserve">(ex : site web, brochures, etc.) </w:t>
      </w:r>
      <w:r>
        <w:rPr>
          <w:lang w:val="fr-FR"/>
        </w:rPr>
        <w:t>;</w:t>
      </w:r>
    </w:p>
    <w:p w14:paraId="4A7698DF" w14:textId="77777777" w:rsidR="00060E28" w:rsidRDefault="00AE66FF">
      <w:pPr>
        <w:pStyle w:val="Paragraphedeliste"/>
        <w:numPr>
          <w:ilvl w:val="0"/>
          <w:numId w:val="54"/>
        </w:numPr>
      </w:pPr>
      <w:proofErr w:type="gramStart"/>
      <w:r>
        <w:rPr>
          <w:lang w:val="fr-FR"/>
        </w:rPr>
        <w:t>dans</w:t>
      </w:r>
      <w:proofErr w:type="gramEnd"/>
      <w:r>
        <w:rPr>
          <w:lang w:val="fr-FR"/>
        </w:rPr>
        <w:t xml:space="preserve"> les rapports avec les </w:t>
      </w:r>
      <w:r>
        <w:rPr>
          <w:b/>
          <w:lang w:val="fr-FR"/>
        </w:rPr>
        <w:t xml:space="preserve">médias </w:t>
      </w:r>
      <w:r>
        <w:rPr>
          <w:lang w:val="fr-FR"/>
        </w:rPr>
        <w:t>en lien avec le projet ;</w:t>
      </w:r>
    </w:p>
    <w:p w14:paraId="42D382D8" w14:textId="77777777" w:rsidR="00060E28" w:rsidRDefault="00060E28"/>
    <w:p w14:paraId="474F7E85" w14:textId="77777777" w:rsidR="00060E28" w:rsidRDefault="00AE66FF">
      <w:pPr>
        <w:jc w:val="both"/>
      </w:pPr>
      <w:r>
        <w:rPr>
          <w:lang w:val="fr-FR"/>
        </w:rPr>
        <w:t xml:space="preserve">Toutes les versions du logo et la charte graphique de la Région sont téléchargeables sur cette page. </w:t>
      </w:r>
      <w:r>
        <w:rPr>
          <w:b/>
          <w:lang w:val="fr-FR"/>
        </w:rPr>
        <w:t xml:space="preserve">Un justificatif au moins de la publicité réalisée sera envoyé au service gestionnaire, au plus tard lors de la demande de dernier versement de l’aide </w:t>
      </w:r>
      <w:r>
        <w:rPr>
          <w:i/>
          <w:lang w:val="fr-FR"/>
        </w:rPr>
        <w:t>(ex : copie d’écran du site web avec le logo, copie d’un rapport, article de presse avec mention de la Région, etc…).</w:t>
      </w:r>
    </w:p>
    <w:p w14:paraId="4FB59D4A" w14:textId="77777777" w:rsidR="00060E28" w:rsidRDefault="00060E28">
      <w:pPr>
        <w:widowControl/>
        <w:shd w:val="clear" w:color="auto" w:fill="FFFFFF"/>
        <w:suppressAutoHyphens w:val="0"/>
        <w:overflowPunct/>
        <w:autoSpaceDE/>
        <w:textAlignment w:val="auto"/>
        <w:rPr>
          <w:rFonts w:ascii="Calibri" w:eastAsia="Times New Roman" w:hAnsi="Calibri" w:cs="Calibri"/>
          <w:color w:val="000000"/>
          <w:kern w:val="0"/>
          <w:sz w:val="24"/>
          <w:szCs w:val="24"/>
          <w:lang w:val="fr-FR"/>
        </w:rPr>
      </w:pPr>
    </w:p>
    <w:p w14:paraId="05600C15" w14:textId="77777777" w:rsidR="00060E28" w:rsidRDefault="00AE66FF">
      <w:pPr>
        <w:widowControl/>
        <w:shd w:val="clear" w:color="auto" w:fill="FFFFFF"/>
        <w:suppressAutoHyphens w:val="0"/>
        <w:overflowPunct/>
        <w:autoSpaceDE/>
        <w:textAlignment w:val="auto"/>
        <w:rPr>
          <w:rFonts w:eastAsia="Times New Roman"/>
          <w:kern w:val="0"/>
          <w:szCs w:val="20"/>
          <w:lang w:val="fr-FR"/>
        </w:rPr>
      </w:pPr>
      <w:r>
        <w:rPr>
          <w:rFonts w:eastAsia="Times New Roman"/>
          <w:kern w:val="0"/>
          <w:szCs w:val="20"/>
          <w:lang w:val="fr-FR"/>
        </w:rPr>
        <w:t>Toute communication devra respecter la charte graphique des ports disponible à l’adresse suivante :</w:t>
      </w:r>
    </w:p>
    <w:p w14:paraId="50BC4031" w14:textId="77777777" w:rsidR="00060E28" w:rsidRDefault="00060E28">
      <w:pPr>
        <w:rPr>
          <w:szCs w:val="20"/>
        </w:rPr>
      </w:pPr>
    </w:p>
    <w:p w14:paraId="60F78B57" w14:textId="77777777" w:rsidR="00060E28" w:rsidRDefault="00982856">
      <w:pPr>
        <w:widowControl/>
        <w:shd w:val="clear" w:color="auto" w:fill="FFFFFF"/>
        <w:suppressAutoHyphens w:val="0"/>
        <w:overflowPunct/>
        <w:autoSpaceDE/>
        <w:textAlignment w:val="auto"/>
      </w:pPr>
      <w:hyperlink r:id="rId13" w:history="1">
        <w:r w:rsidR="00AE66FF">
          <w:rPr>
            <w:rFonts w:ascii="Calibri" w:eastAsia="Times New Roman" w:hAnsi="Calibri" w:cs="Calibri"/>
            <w:color w:val="0000FF"/>
            <w:kern w:val="0"/>
            <w:sz w:val="24"/>
            <w:szCs w:val="24"/>
            <w:u w:val="single"/>
            <w:lang w:val="fr-FR"/>
          </w:rPr>
          <w:t>https://www.bretagne.bzh/communication/</w:t>
        </w:r>
      </w:hyperlink>
    </w:p>
    <w:p w14:paraId="13A965E5" w14:textId="77777777" w:rsidR="00060E28" w:rsidRDefault="00060E28"/>
    <w:p w14:paraId="64B6BB23" w14:textId="77777777" w:rsidR="00060E28" w:rsidRDefault="00AE66FF" w:rsidP="006E24C0">
      <w:pPr>
        <w:pStyle w:val="Style2"/>
        <w:numPr>
          <w:ilvl w:val="1"/>
          <w:numId w:val="60"/>
        </w:numPr>
      </w:pPr>
      <w:bookmarkStart w:id="151" w:name="_Toc32"/>
      <w:bookmarkStart w:id="152" w:name="_Toc97630311"/>
      <w:bookmarkStart w:id="153" w:name="_Toc97665356"/>
      <w:bookmarkStart w:id="154" w:name="_Toc100582433"/>
      <w:r>
        <w:rPr>
          <w:lang w:val="fr-FR"/>
        </w:rPr>
        <w:t>Invitation du Président de la Région</w:t>
      </w:r>
      <w:bookmarkEnd w:id="151"/>
      <w:bookmarkEnd w:id="152"/>
      <w:bookmarkEnd w:id="153"/>
      <w:bookmarkEnd w:id="154"/>
    </w:p>
    <w:p w14:paraId="5136095A" w14:textId="77777777" w:rsidR="00060E28" w:rsidRDefault="00060E28"/>
    <w:p w14:paraId="2111A128" w14:textId="77777777" w:rsidR="00060E28" w:rsidRDefault="00AE66FF">
      <w:r>
        <w:rPr>
          <w:lang w:val="fr-FR"/>
        </w:rPr>
        <w:t xml:space="preserve">Lors d’éventuels temps forts de communication en lien avec l’opération, une invitation officielle sera adressée en amont au Président de la Région sur </w:t>
      </w:r>
      <w:proofErr w:type="spellStart"/>
      <w:r>
        <w:rPr>
          <w:b/>
          <w:lang w:val="fr-FR"/>
        </w:rPr>
        <w:t>presidence@bretagne.bzh</w:t>
      </w:r>
      <w:proofErr w:type="spellEnd"/>
      <w:r>
        <w:rPr>
          <w:b/>
          <w:lang w:val="fr-FR"/>
        </w:rPr>
        <w:t xml:space="preserve"> </w:t>
      </w:r>
      <w:r>
        <w:rPr>
          <w:i/>
          <w:lang w:val="fr-FR"/>
        </w:rPr>
        <w:t>(ex : inauguration, relations presse, opération de lancement, salon, remise de prix, etc…).</w:t>
      </w:r>
    </w:p>
    <w:p w14:paraId="3C603EBE" w14:textId="77777777" w:rsidR="00060E28" w:rsidRDefault="00060E28"/>
    <w:p w14:paraId="5353D63D" w14:textId="77777777" w:rsidR="00060E28" w:rsidRDefault="00AE66FF" w:rsidP="006E24C0">
      <w:pPr>
        <w:pStyle w:val="Style2"/>
        <w:numPr>
          <w:ilvl w:val="1"/>
          <w:numId w:val="60"/>
        </w:numPr>
      </w:pPr>
      <w:bookmarkStart w:id="155" w:name="_Toc35"/>
      <w:bookmarkStart w:id="156" w:name="_Toc97630314"/>
      <w:bookmarkStart w:id="157" w:name="_Toc97665357"/>
      <w:bookmarkStart w:id="158" w:name="_Toc100582434"/>
      <w:r>
        <w:rPr>
          <w:lang w:val="fr-FR"/>
        </w:rPr>
        <w:t>Contact</w:t>
      </w:r>
      <w:bookmarkEnd w:id="155"/>
      <w:bookmarkEnd w:id="156"/>
      <w:bookmarkEnd w:id="157"/>
      <w:bookmarkEnd w:id="158"/>
    </w:p>
    <w:p w14:paraId="524ECC7C" w14:textId="77777777" w:rsidR="00060E28" w:rsidRDefault="00060E28"/>
    <w:p w14:paraId="34078139" w14:textId="77777777" w:rsidR="00060E28" w:rsidRDefault="00AE66FF">
      <w:r>
        <w:rPr>
          <w:lang w:val="fr-FR"/>
        </w:rPr>
        <w:t>En cas de demande de renseignement, merci de prendre contact avec :</w:t>
      </w:r>
    </w:p>
    <w:p w14:paraId="1EF528D2" w14:textId="77777777" w:rsidR="00060E28" w:rsidRDefault="00060E28"/>
    <w:p w14:paraId="3E2BD436" w14:textId="77777777" w:rsidR="00060E28" w:rsidRDefault="00AE66FF">
      <w:r>
        <w:rPr>
          <w:lang w:val="fr-FR"/>
        </w:rPr>
        <w:t xml:space="preserve">Laurence </w:t>
      </w:r>
      <w:proofErr w:type="spellStart"/>
      <w:r>
        <w:rPr>
          <w:lang w:val="fr-FR"/>
        </w:rPr>
        <w:t>Barrere</w:t>
      </w:r>
      <w:proofErr w:type="spellEnd"/>
    </w:p>
    <w:p w14:paraId="3278DFE1" w14:textId="77777777" w:rsidR="00060E28" w:rsidRDefault="00AE66FF">
      <w:r>
        <w:rPr>
          <w:lang w:val="fr-FR"/>
        </w:rPr>
        <w:t>Service Ingénierie - Direction des Ports</w:t>
      </w:r>
    </w:p>
    <w:p w14:paraId="6231806B" w14:textId="77777777" w:rsidR="00060E28" w:rsidRDefault="00AE66FF">
      <w:r>
        <w:rPr>
          <w:lang w:val="fr-FR"/>
        </w:rPr>
        <w:t>Région Bretagne</w:t>
      </w:r>
    </w:p>
    <w:p w14:paraId="2018863A" w14:textId="77777777" w:rsidR="00060E28" w:rsidRDefault="00982856">
      <w:hyperlink r:id="rId14" w:history="1">
        <w:r w:rsidR="00AE66FF">
          <w:rPr>
            <w:rStyle w:val="Internetlink0"/>
            <w:lang w:val="fr-FR"/>
          </w:rPr>
          <w:t>laurence.barrere@bretagne.bzh</w:t>
        </w:r>
      </w:hyperlink>
    </w:p>
    <w:p w14:paraId="67E2347D" w14:textId="77777777" w:rsidR="00060E28" w:rsidRDefault="00060E28"/>
    <w:p w14:paraId="6C047BF2" w14:textId="7E270AD7" w:rsidR="00060E28" w:rsidRDefault="000C4BB7" w:rsidP="000C4BB7">
      <w:pPr>
        <w:pStyle w:val="Style1"/>
        <w:numPr>
          <w:ilvl w:val="1"/>
          <w:numId w:val="8"/>
        </w:numPr>
        <w:outlineLvl w:val="0"/>
      </w:pPr>
      <w:bookmarkStart w:id="159" w:name="_Toc100582435"/>
      <w:r>
        <w:t>Dépôt du dossier</w:t>
      </w:r>
      <w:bookmarkEnd w:id="159"/>
    </w:p>
    <w:p w14:paraId="0313D945" w14:textId="77777777" w:rsidR="00060E28" w:rsidRDefault="00AE66FF">
      <w:pPr>
        <w:pStyle w:val="Paragraphedeliste"/>
        <w:numPr>
          <w:ilvl w:val="0"/>
          <w:numId w:val="60"/>
        </w:numPr>
        <w:rPr>
          <w:rFonts w:ascii="Calibri Light" w:eastAsia="Calibri Light" w:hAnsi="Calibri Light" w:cs="Calibri Light"/>
          <w:vanish/>
          <w:color w:val="2F5496"/>
          <w:sz w:val="26"/>
        </w:rPr>
      </w:pPr>
      <w:bookmarkStart w:id="160" w:name="_Toc36"/>
      <w:bookmarkStart w:id="161" w:name="_Toc97630315"/>
      <w:bookmarkStart w:id="162" w:name="_Toc97665358"/>
      <w:r>
        <w:rPr>
          <w:rFonts w:ascii="Calibri Light" w:eastAsia="Calibri Light" w:hAnsi="Calibri Light" w:cs="Calibri Light"/>
          <w:vanish/>
          <w:color w:val="2F5496"/>
          <w:sz w:val="26"/>
        </w:rPr>
        <w:t>Dépôt du dossier</w:t>
      </w:r>
      <w:bookmarkEnd w:id="160"/>
      <w:bookmarkEnd w:id="161"/>
      <w:bookmarkEnd w:id="162"/>
    </w:p>
    <w:p w14:paraId="577EA0E4" w14:textId="77777777" w:rsidR="00060E28" w:rsidRDefault="00AE66FF" w:rsidP="006E24C0">
      <w:pPr>
        <w:pStyle w:val="Style2"/>
        <w:numPr>
          <w:ilvl w:val="1"/>
          <w:numId w:val="60"/>
        </w:numPr>
      </w:pPr>
      <w:bookmarkStart w:id="163" w:name="_Toc37"/>
      <w:bookmarkStart w:id="164" w:name="_Toc97630316"/>
      <w:bookmarkStart w:id="165" w:name="_Toc97665359"/>
      <w:bookmarkStart w:id="166" w:name="_Toc100582436"/>
      <w:r>
        <w:rPr>
          <w:lang w:val="fr-FR"/>
        </w:rPr>
        <w:t>Modalités du dépôt du dossier</w:t>
      </w:r>
      <w:bookmarkEnd w:id="163"/>
      <w:bookmarkEnd w:id="164"/>
      <w:bookmarkEnd w:id="165"/>
      <w:bookmarkEnd w:id="166"/>
    </w:p>
    <w:p w14:paraId="2FEF4004" w14:textId="77777777" w:rsidR="00060E28" w:rsidRDefault="00060E28"/>
    <w:p w14:paraId="0877B698" w14:textId="77777777" w:rsidR="00060E28" w:rsidRDefault="00AE66FF">
      <w:r>
        <w:rPr>
          <w:lang w:val="fr-FR"/>
        </w:rPr>
        <w:t xml:space="preserve">Les dossiers devront être adressés par courrier électronique à l’adresse </w:t>
      </w:r>
      <w:hyperlink r:id="rId15" w:history="1">
        <w:r>
          <w:rPr>
            <w:rStyle w:val="Internetlink0"/>
            <w:color w:val="484D7A"/>
            <w:lang w:val="fr-FR"/>
          </w:rPr>
          <w:t>laurence.barrere@bretagne.bzh</w:t>
        </w:r>
      </w:hyperlink>
      <w:r>
        <w:rPr>
          <w:color w:val="FF0000"/>
          <w:lang w:val="fr-FR"/>
        </w:rPr>
        <w:t xml:space="preserve"> </w:t>
      </w:r>
      <w:r>
        <w:rPr>
          <w:lang w:val="fr-FR"/>
        </w:rPr>
        <w:t>en indiquant en objet « Appel à projet instrumentation innovante des ouvrages portuaires ».</w:t>
      </w:r>
    </w:p>
    <w:p w14:paraId="73A4903A" w14:textId="77777777" w:rsidR="00060E28" w:rsidRDefault="00060E28"/>
    <w:p w14:paraId="0B3DE4F4" w14:textId="77777777" w:rsidR="00060E28" w:rsidRDefault="00060E28"/>
    <w:p w14:paraId="60851D0F" w14:textId="77777777" w:rsidR="00060E28" w:rsidRDefault="00AE66FF" w:rsidP="006E24C0">
      <w:pPr>
        <w:pStyle w:val="Style2"/>
        <w:numPr>
          <w:ilvl w:val="1"/>
          <w:numId w:val="60"/>
        </w:numPr>
      </w:pPr>
      <w:bookmarkStart w:id="167" w:name="_Toc38"/>
      <w:bookmarkStart w:id="168" w:name="_Toc97630317"/>
      <w:bookmarkStart w:id="169" w:name="_Toc97665360"/>
      <w:bookmarkStart w:id="170" w:name="_Toc100582437"/>
      <w:r>
        <w:rPr>
          <w:lang w:val="fr-FR"/>
        </w:rPr>
        <w:t>Calendrier</w:t>
      </w:r>
      <w:bookmarkEnd w:id="167"/>
      <w:bookmarkEnd w:id="168"/>
      <w:bookmarkEnd w:id="169"/>
      <w:bookmarkEnd w:id="170"/>
    </w:p>
    <w:p w14:paraId="6DB8C008" w14:textId="77777777" w:rsidR="00060E28" w:rsidRDefault="00060E28"/>
    <w:p w14:paraId="63ABEF36" w14:textId="33B6F8EA" w:rsidR="00060E28" w:rsidRDefault="00AE66FF">
      <w:r>
        <w:rPr>
          <w:lang w:val="fr-FR"/>
        </w:rPr>
        <w:t xml:space="preserve">L’appel à projet est ouvert à compter du </w:t>
      </w:r>
      <w:r w:rsidR="00635ED3" w:rsidRPr="000A499E">
        <w:rPr>
          <w:b/>
          <w:lang w:val="fr-FR"/>
        </w:rPr>
        <w:t xml:space="preserve">16 mai </w:t>
      </w:r>
      <w:r w:rsidRPr="000A499E">
        <w:rPr>
          <w:b/>
          <w:lang w:val="fr-FR"/>
        </w:rPr>
        <w:t>2022</w:t>
      </w:r>
      <w:r>
        <w:rPr>
          <w:b/>
          <w:lang w:val="fr-FR"/>
        </w:rPr>
        <w:t xml:space="preserve"> jusqu’au </w:t>
      </w:r>
      <w:r w:rsidR="00C47017">
        <w:rPr>
          <w:b/>
          <w:lang w:val="fr-FR"/>
        </w:rPr>
        <w:t xml:space="preserve">15 </w:t>
      </w:r>
      <w:r w:rsidR="00635ED3">
        <w:rPr>
          <w:b/>
          <w:lang w:val="fr-FR"/>
        </w:rPr>
        <w:t>septembre</w:t>
      </w:r>
      <w:r>
        <w:rPr>
          <w:b/>
          <w:lang w:val="fr-FR"/>
        </w:rPr>
        <w:t>2022.</w:t>
      </w:r>
    </w:p>
    <w:p w14:paraId="5604D1A4" w14:textId="77777777" w:rsidR="00060E28" w:rsidRDefault="00AE66FF">
      <w:r>
        <w:rPr>
          <w:b/>
          <w:color w:val="FFFFFF"/>
          <w:sz w:val="34"/>
          <w:lang w:val="fr-FR"/>
        </w:rPr>
        <w:t>CONTACT</w:t>
      </w:r>
    </w:p>
    <w:p w14:paraId="11EB776B" w14:textId="77777777" w:rsidR="00060E28" w:rsidRDefault="00060E28"/>
    <w:p w14:paraId="1150FA7F" w14:textId="77777777" w:rsidR="00060E28" w:rsidRDefault="00060E28">
      <w:bookmarkStart w:id="171" w:name="__RefHeading___Toc5698_3029622120"/>
      <w:bookmarkStart w:id="172" w:name="_Toc39"/>
    </w:p>
    <w:p w14:paraId="6AA69D92" w14:textId="77777777" w:rsidR="00060E28" w:rsidRDefault="00AE66FF">
      <w:pPr>
        <w:pStyle w:val="Titre1"/>
        <w:pageBreakBefore/>
      </w:pPr>
      <w:bookmarkStart w:id="173" w:name="_Toc97630318"/>
      <w:bookmarkStart w:id="174" w:name="_Toc97665361"/>
      <w:bookmarkStart w:id="175" w:name="_Toc100582438"/>
      <w:r>
        <w:rPr>
          <w:lang w:val="fr-FR"/>
        </w:rPr>
        <w:lastRenderedPageBreak/>
        <w:t xml:space="preserve">Annexe 1 : Fiche de synthèse technique à remettre en format </w:t>
      </w:r>
      <w:proofErr w:type="spellStart"/>
      <w:r>
        <w:rPr>
          <w:lang w:val="fr-FR"/>
        </w:rPr>
        <w:t>excel</w:t>
      </w:r>
      <w:bookmarkEnd w:id="171"/>
      <w:bookmarkEnd w:id="172"/>
      <w:bookmarkEnd w:id="173"/>
      <w:bookmarkEnd w:id="174"/>
      <w:bookmarkEnd w:id="175"/>
      <w:proofErr w:type="spellEnd"/>
    </w:p>
    <w:p w14:paraId="14F7D62A" w14:textId="77777777" w:rsidR="00060E28" w:rsidRDefault="00060E28"/>
    <w:p w14:paraId="02DFC0DC" w14:textId="77777777" w:rsidR="00060E28" w:rsidRDefault="00AE66FF">
      <w:r>
        <w:rPr>
          <w:i/>
          <w:lang w:val="fr-FR"/>
        </w:rPr>
        <w:t>Explication</w:t>
      </w:r>
    </w:p>
    <w:p w14:paraId="5CF662DB" w14:textId="77777777" w:rsidR="00060E28" w:rsidRDefault="00060E28"/>
    <w:p w14:paraId="733B4878" w14:textId="77777777" w:rsidR="00060E28" w:rsidRDefault="00AE66FF">
      <w:r>
        <w:rPr>
          <w:b/>
          <w:lang w:val="fr-FR"/>
        </w:rPr>
        <w:t>Fiche de synthèse</w:t>
      </w:r>
    </w:p>
    <w:p w14:paraId="44581D6D" w14:textId="77777777" w:rsidR="00060E28" w:rsidRDefault="00060E28"/>
    <w:p w14:paraId="036DC5EE" w14:textId="77777777" w:rsidR="00060E28" w:rsidRDefault="00AE66FF">
      <w:r>
        <w:rPr>
          <w:b/>
          <w:lang w:val="fr-FR"/>
        </w:rPr>
        <w:t>Nom du projet</w:t>
      </w:r>
    </w:p>
    <w:p w14:paraId="254EDB15" w14:textId="77777777" w:rsidR="00060E28" w:rsidRDefault="00060E28"/>
    <w:p w14:paraId="5D378121" w14:textId="77777777" w:rsidR="00060E28" w:rsidRDefault="00AE66FF">
      <w:r>
        <w:rPr>
          <w:b/>
          <w:lang w:val="fr-FR"/>
        </w:rPr>
        <w:t>Objectif principal visé</w:t>
      </w:r>
    </w:p>
    <w:p w14:paraId="3561BA49" w14:textId="77777777" w:rsidR="00060E28" w:rsidRDefault="00060E28"/>
    <w:p w14:paraId="0134608F" w14:textId="77777777" w:rsidR="00060E28" w:rsidRDefault="00AE66FF">
      <w:r>
        <w:rPr>
          <w:b/>
          <w:lang w:val="fr-FR"/>
        </w:rPr>
        <w:t>1 - Types d’instrumentations</w:t>
      </w:r>
    </w:p>
    <w:p w14:paraId="5168FFDA" w14:textId="77777777" w:rsidR="00060E28" w:rsidRDefault="00AE66FF">
      <w:r>
        <w:rPr>
          <w:lang w:val="fr-FR"/>
        </w:rPr>
        <w:t>I1 - instrumentation pour la haute surveillance ou la surveillance renforcée</w:t>
      </w:r>
    </w:p>
    <w:p w14:paraId="442C26FD" w14:textId="77777777" w:rsidR="00060E28" w:rsidRDefault="00AE66FF">
      <w:r>
        <w:rPr>
          <w:lang w:val="fr-FR"/>
        </w:rPr>
        <w:t>I2 - instrumentation de validation du comportement structurel et d’aide au diagnostic</w:t>
      </w:r>
    </w:p>
    <w:p w14:paraId="6CE08037" w14:textId="77777777" w:rsidR="00060E28" w:rsidRDefault="00AE66FF">
      <w:r>
        <w:rPr>
          <w:lang w:val="fr-FR"/>
        </w:rPr>
        <w:t>I3 - instrumentation de surveillance structurale et instrumentation prédictive</w:t>
      </w:r>
    </w:p>
    <w:p w14:paraId="7BA3A2AE" w14:textId="77777777" w:rsidR="00060E28" w:rsidRDefault="00AE66FF">
      <w:r>
        <w:rPr>
          <w:lang w:val="fr-FR"/>
        </w:rPr>
        <w:t>Ix - autres, à préciser</w:t>
      </w:r>
    </w:p>
    <w:p w14:paraId="4FA4F235" w14:textId="77777777" w:rsidR="00060E28" w:rsidRDefault="00060E28"/>
    <w:p w14:paraId="05ECC4FB" w14:textId="77777777" w:rsidR="00060E28" w:rsidRDefault="00AE66FF">
      <w:r>
        <w:rPr>
          <w:b/>
          <w:lang w:val="fr-FR"/>
        </w:rPr>
        <w:t>2 - Thématiques obligatoires</w:t>
      </w:r>
    </w:p>
    <w:p w14:paraId="674D8FF9" w14:textId="77777777" w:rsidR="00060E28" w:rsidRDefault="00AE66FF">
      <w:r>
        <w:rPr>
          <w:lang w:val="fr-FR"/>
        </w:rPr>
        <w:t>O1 - suivi de la phase d’incubation</w:t>
      </w:r>
    </w:p>
    <w:p w14:paraId="2599258A" w14:textId="77777777" w:rsidR="00060E28" w:rsidRDefault="00AE66FF">
      <w:r>
        <w:rPr>
          <w:lang w:val="fr-FR"/>
        </w:rPr>
        <w:t>O2 - suivi de la phase de propagation</w:t>
      </w:r>
    </w:p>
    <w:p w14:paraId="7F41F00D" w14:textId="77777777" w:rsidR="00060E28" w:rsidRDefault="00060E28"/>
    <w:p w14:paraId="1FA32985" w14:textId="77777777" w:rsidR="00060E28" w:rsidRDefault="00AE66FF">
      <w:r>
        <w:rPr>
          <w:b/>
          <w:lang w:val="fr-FR"/>
        </w:rPr>
        <w:t>3 - Thématiques complémentaires (voir nota ci-après)</w:t>
      </w:r>
    </w:p>
    <w:p w14:paraId="517CA477" w14:textId="77777777" w:rsidR="00060E28" w:rsidRDefault="00AE66FF">
      <w:r>
        <w:rPr>
          <w:lang w:val="fr-FR"/>
        </w:rPr>
        <w:t>C1 - inspection par imagerie des ouvrages</w:t>
      </w:r>
    </w:p>
    <w:p w14:paraId="35BE3835" w14:textId="77777777" w:rsidR="00060E28" w:rsidRDefault="00AE66FF">
      <w:r>
        <w:rPr>
          <w:lang w:val="fr-FR"/>
        </w:rPr>
        <w:t>C2 - capteurs innovants ou usage innovant de capteurs pour la surveillance des ouvrages portuaires</w:t>
      </w:r>
    </w:p>
    <w:p w14:paraId="5D7F0DF6" w14:textId="77777777" w:rsidR="00060E28" w:rsidRDefault="00AE66FF">
      <w:r>
        <w:rPr>
          <w:lang w:val="fr-FR"/>
        </w:rPr>
        <w:t>C3 - apprentissage automatique basé sur l’intelligence artificielle appliquée à l’instrumentation</w:t>
      </w:r>
    </w:p>
    <w:p w14:paraId="6E4785DC" w14:textId="77777777" w:rsidR="00060E28" w:rsidRDefault="00AE66FF">
      <w:r>
        <w:rPr>
          <w:lang w:val="fr-FR"/>
        </w:rPr>
        <w:t>Cx - autres, à préciser</w:t>
      </w:r>
    </w:p>
    <w:p w14:paraId="48E72D8D" w14:textId="77777777" w:rsidR="00060E28" w:rsidRDefault="00060E28"/>
    <w:p w14:paraId="67CB51F6" w14:textId="77777777" w:rsidR="00060E28" w:rsidRDefault="00AE66FF">
      <w:r>
        <w:rPr>
          <w:b/>
          <w:lang w:val="fr-FR"/>
        </w:rPr>
        <w:t>4 - Sensibilité aux aléas (arrêt momentané de l’instrumentation, évènements météo, actes malveillants)</w:t>
      </w:r>
    </w:p>
    <w:p w14:paraId="7E143F1A" w14:textId="77777777" w:rsidR="00060E28" w:rsidRDefault="00AE66FF">
      <w:r>
        <w:rPr>
          <w:lang w:val="fr-FR"/>
        </w:rPr>
        <w:t>S1 - pas de sensibilité</w:t>
      </w:r>
    </w:p>
    <w:p w14:paraId="69C5C87F" w14:textId="77777777" w:rsidR="00060E28" w:rsidRDefault="00AE66FF">
      <w:r>
        <w:rPr>
          <w:lang w:val="fr-FR"/>
        </w:rPr>
        <w:t>S2 - sensible</w:t>
      </w:r>
    </w:p>
    <w:p w14:paraId="63A99A4F" w14:textId="77777777" w:rsidR="00060E28" w:rsidRDefault="00AE66FF">
      <w:proofErr w:type="spellStart"/>
      <w:r>
        <w:rPr>
          <w:lang w:val="fr-FR"/>
        </w:rPr>
        <w:t>Sx</w:t>
      </w:r>
      <w:proofErr w:type="spellEnd"/>
      <w:r>
        <w:rPr>
          <w:lang w:val="fr-FR"/>
        </w:rPr>
        <w:t xml:space="preserve"> - autres, à préciser</w:t>
      </w:r>
    </w:p>
    <w:p w14:paraId="7C91B14C" w14:textId="77777777" w:rsidR="00060E28" w:rsidRDefault="00060E28"/>
    <w:p w14:paraId="7C4BA053" w14:textId="77777777" w:rsidR="00060E28" w:rsidRDefault="00AE66FF">
      <w:r>
        <w:rPr>
          <w:b/>
          <w:lang w:val="fr-FR"/>
        </w:rPr>
        <w:t>5 - Types d’alimentations</w:t>
      </w:r>
    </w:p>
    <w:p w14:paraId="7C5289C2" w14:textId="77777777" w:rsidR="00060E28" w:rsidRDefault="00AE66FF">
      <w:r>
        <w:rPr>
          <w:lang w:val="fr-FR"/>
        </w:rPr>
        <w:t>A1 - capteur actif</w:t>
      </w:r>
    </w:p>
    <w:p w14:paraId="057BD031" w14:textId="77777777" w:rsidR="00060E28" w:rsidRDefault="00AE66FF">
      <w:r>
        <w:rPr>
          <w:lang w:val="fr-FR"/>
        </w:rPr>
        <w:t>A2 - capteur passif</w:t>
      </w:r>
    </w:p>
    <w:p w14:paraId="79EE8CE3" w14:textId="77777777" w:rsidR="00060E28" w:rsidRDefault="00AE66FF">
      <w:r>
        <w:rPr>
          <w:lang w:val="fr-FR"/>
        </w:rPr>
        <w:t>Ax - autres, à préciser</w:t>
      </w:r>
    </w:p>
    <w:p w14:paraId="4F9FDD4B" w14:textId="77777777" w:rsidR="00060E28" w:rsidRDefault="00060E28"/>
    <w:p w14:paraId="42F977C3" w14:textId="77777777" w:rsidR="00060E28" w:rsidRDefault="00AE66FF">
      <w:r>
        <w:rPr>
          <w:b/>
          <w:lang w:val="fr-FR"/>
        </w:rPr>
        <w:t>6 - Types d’acquisitions</w:t>
      </w:r>
    </w:p>
    <w:p w14:paraId="777454CB" w14:textId="77777777" w:rsidR="00060E28" w:rsidRDefault="00AE66FF">
      <w:r>
        <w:rPr>
          <w:lang w:val="fr-FR"/>
        </w:rPr>
        <w:t>A1 - mesure ponctuelle</w:t>
      </w:r>
    </w:p>
    <w:p w14:paraId="44E5F199" w14:textId="77777777" w:rsidR="00060E28" w:rsidRDefault="00AE66FF">
      <w:r>
        <w:rPr>
          <w:lang w:val="fr-FR"/>
        </w:rPr>
        <w:t>A2 - mesure continu</w:t>
      </w:r>
    </w:p>
    <w:p w14:paraId="44724C2E" w14:textId="77777777" w:rsidR="00060E28" w:rsidRDefault="00AE66FF">
      <w:r>
        <w:rPr>
          <w:lang w:val="fr-FR"/>
        </w:rPr>
        <w:t>Ax - autres, à préciser</w:t>
      </w:r>
    </w:p>
    <w:p w14:paraId="6FE15321" w14:textId="77777777" w:rsidR="00060E28" w:rsidRDefault="00060E28"/>
    <w:p w14:paraId="323F11B3" w14:textId="77777777" w:rsidR="00060E28" w:rsidRDefault="00AE66FF">
      <w:r>
        <w:rPr>
          <w:b/>
          <w:lang w:val="fr-FR"/>
        </w:rPr>
        <w:t>7 - Mode d’interrogation</w:t>
      </w:r>
    </w:p>
    <w:p w14:paraId="3896CB7B" w14:textId="77777777" w:rsidR="00060E28" w:rsidRDefault="00AE66FF">
      <w:r>
        <w:rPr>
          <w:lang w:val="fr-FR"/>
        </w:rPr>
        <w:t>I1 - à distance</w:t>
      </w:r>
    </w:p>
    <w:p w14:paraId="0C090428" w14:textId="77777777" w:rsidR="00060E28" w:rsidRDefault="00AE66FF">
      <w:r>
        <w:rPr>
          <w:lang w:val="fr-FR"/>
        </w:rPr>
        <w:t>I2 - in situ avec connexion</w:t>
      </w:r>
    </w:p>
    <w:p w14:paraId="50F1172C" w14:textId="77777777" w:rsidR="00060E28" w:rsidRDefault="00AE66FF">
      <w:r>
        <w:rPr>
          <w:lang w:val="fr-FR"/>
        </w:rPr>
        <w:t>I3 - in situ par moyens déportés (caméras, antenne)</w:t>
      </w:r>
    </w:p>
    <w:p w14:paraId="4C12C601" w14:textId="77777777" w:rsidR="00060E28" w:rsidRDefault="00AE66FF">
      <w:r>
        <w:rPr>
          <w:lang w:val="fr-FR"/>
        </w:rPr>
        <w:t>Ix - autres, à préciser</w:t>
      </w:r>
    </w:p>
    <w:p w14:paraId="0742F819" w14:textId="77777777" w:rsidR="00060E28" w:rsidRDefault="00060E28"/>
    <w:p w14:paraId="2F34817E" w14:textId="77777777" w:rsidR="00060E28" w:rsidRDefault="00AE66FF">
      <w:r>
        <w:rPr>
          <w:b/>
          <w:lang w:val="fr-FR"/>
        </w:rPr>
        <w:t>8 - Types de traitements</w:t>
      </w:r>
    </w:p>
    <w:p w14:paraId="0C589146" w14:textId="77777777" w:rsidR="00060E28" w:rsidRDefault="00AE66FF">
      <w:r>
        <w:rPr>
          <w:lang w:val="fr-FR"/>
        </w:rPr>
        <w:t>T1 - par algorithmes non confidentiels (explicitables par logigramme) potentiellement certifiables</w:t>
      </w:r>
    </w:p>
    <w:p w14:paraId="3CC9DD62" w14:textId="77777777" w:rsidR="00060E28" w:rsidRDefault="00AE66FF">
      <w:r>
        <w:rPr>
          <w:lang w:val="fr-FR"/>
        </w:rPr>
        <w:t>T2 - par algorithmes confidentiels (non explicitables par logigramme) potentiellement certifiables</w:t>
      </w:r>
    </w:p>
    <w:p w14:paraId="273EBFDC" w14:textId="77777777" w:rsidR="00060E28" w:rsidRDefault="00AE66FF">
      <w:r>
        <w:rPr>
          <w:lang w:val="fr-FR"/>
        </w:rPr>
        <w:t>T3 - faisant intervenir une méthode de type « intelligence artificielle »</w:t>
      </w:r>
    </w:p>
    <w:p w14:paraId="2D532ACC" w14:textId="77777777" w:rsidR="00060E28" w:rsidRDefault="00AE66FF">
      <w:proofErr w:type="spellStart"/>
      <w:r>
        <w:rPr>
          <w:lang w:val="fr-FR"/>
        </w:rPr>
        <w:t>Tx</w:t>
      </w:r>
      <w:proofErr w:type="spellEnd"/>
      <w:r>
        <w:rPr>
          <w:lang w:val="fr-FR"/>
        </w:rPr>
        <w:t xml:space="preserve"> - autres, à préciser</w:t>
      </w:r>
    </w:p>
    <w:p w14:paraId="6A9D9FB6" w14:textId="77777777" w:rsidR="00060E28" w:rsidRDefault="00060E28"/>
    <w:p w14:paraId="3C04ED86" w14:textId="77777777" w:rsidR="00060E28" w:rsidRDefault="00AE66FF">
      <w:r>
        <w:rPr>
          <w:b/>
          <w:lang w:val="fr-FR"/>
        </w:rPr>
        <w:t xml:space="preserve">9 - Niveau de durabilité estimé des composants de l’instrumentation (MTBF, </w:t>
      </w:r>
      <w:proofErr w:type="spellStart"/>
      <w:r>
        <w:rPr>
          <w:b/>
          <w:lang w:val="fr-FR"/>
        </w:rPr>
        <w:t>mean</w:t>
      </w:r>
      <w:proofErr w:type="spellEnd"/>
      <w:r>
        <w:rPr>
          <w:b/>
          <w:lang w:val="fr-FR"/>
        </w:rPr>
        <w:t xml:space="preserve"> time </w:t>
      </w:r>
      <w:proofErr w:type="spellStart"/>
      <w:r>
        <w:rPr>
          <w:b/>
          <w:lang w:val="fr-FR"/>
        </w:rPr>
        <w:t>between</w:t>
      </w:r>
      <w:proofErr w:type="spellEnd"/>
      <w:r>
        <w:rPr>
          <w:b/>
          <w:lang w:val="fr-FR"/>
        </w:rPr>
        <w:t xml:space="preserve"> </w:t>
      </w:r>
      <w:proofErr w:type="spellStart"/>
      <w:r>
        <w:rPr>
          <w:b/>
          <w:lang w:val="fr-FR"/>
        </w:rPr>
        <w:t>failure</w:t>
      </w:r>
      <w:proofErr w:type="spellEnd"/>
      <w:r>
        <w:rPr>
          <w:b/>
          <w:lang w:val="fr-FR"/>
        </w:rPr>
        <w:t xml:space="preserve"> / temps moyen entre panne)</w:t>
      </w:r>
    </w:p>
    <w:p w14:paraId="2418F071" w14:textId="77777777" w:rsidR="00060E28" w:rsidRDefault="00AE66FF">
      <w:r>
        <w:rPr>
          <w:lang w:val="fr-FR"/>
        </w:rPr>
        <w:t>D1 - inférieure à 5 ans</w:t>
      </w:r>
    </w:p>
    <w:p w14:paraId="6BCCF2D1" w14:textId="77777777" w:rsidR="00060E28" w:rsidRDefault="00AE66FF">
      <w:r>
        <w:rPr>
          <w:lang w:val="fr-FR"/>
        </w:rPr>
        <w:t>D2 - entre 5 et 10 ans</w:t>
      </w:r>
    </w:p>
    <w:p w14:paraId="308C3EFA" w14:textId="77777777" w:rsidR="00060E28" w:rsidRDefault="00AE66FF">
      <w:r>
        <w:rPr>
          <w:lang w:val="fr-FR"/>
        </w:rPr>
        <w:t>D3 - supérieur à 10 ans</w:t>
      </w:r>
    </w:p>
    <w:p w14:paraId="0F58CAD3" w14:textId="77777777" w:rsidR="00060E28" w:rsidRDefault="00060E28"/>
    <w:p w14:paraId="5C69B780" w14:textId="77777777" w:rsidR="00060E28" w:rsidRDefault="00AE66FF">
      <w:r>
        <w:rPr>
          <w:b/>
          <w:lang w:val="fr-FR"/>
        </w:rPr>
        <w:lastRenderedPageBreak/>
        <w:t>10 - Niveau de maturité technologique du dispositif</w:t>
      </w:r>
    </w:p>
    <w:p w14:paraId="5EB181D7" w14:textId="77777777" w:rsidR="00060E28" w:rsidRDefault="00AE66FF">
      <w:r>
        <w:rPr>
          <w:lang w:val="fr-FR"/>
        </w:rPr>
        <w:t>M1 - indice de maturité technologique TRL (</w:t>
      </w:r>
      <w:proofErr w:type="spellStart"/>
      <w:r>
        <w:rPr>
          <w:lang w:val="fr-FR"/>
        </w:rPr>
        <w:t>Technology</w:t>
      </w:r>
      <w:proofErr w:type="spellEnd"/>
      <w:r>
        <w:rPr>
          <w:lang w:val="fr-FR"/>
        </w:rPr>
        <w:t xml:space="preserve"> </w:t>
      </w:r>
      <w:proofErr w:type="spellStart"/>
      <w:r>
        <w:rPr>
          <w:lang w:val="fr-FR"/>
        </w:rPr>
        <w:t>Readiness</w:t>
      </w:r>
      <w:proofErr w:type="spellEnd"/>
      <w:r>
        <w:rPr>
          <w:lang w:val="fr-FR"/>
        </w:rPr>
        <w:t xml:space="preserve"> </w:t>
      </w:r>
      <w:proofErr w:type="spellStart"/>
      <w:r>
        <w:rPr>
          <w:lang w:val="fr-FR"/>
        </w:rPr>
        <w:t>Level</w:t>
      </w:r>
      <w:proofErr w:type="spellEnd"/>
      <w:r>
        <w:rPr>
          <w:lang w:val="fr-FR"/>
        </w:rPr>
        <w:t>) initial (à la date de l’appel à projet)</w:t>
      </w:r>
    </w:p>
    <w:p w14:paraId="5ACEF4DD" w14:textId="77777777" w:rsidR="00060E28" w:rsidRDefault="00AE66FF">
      <w:r>
        <w:rPr>
          <w:lang w:val="fr-FR"/>
        </w:rPr>
        <w:t>M2 - indice de maturité technologique TRL visé (à la clôture du projet)</w:t>
      </w:r>
    </w:p>
    <w:p w14:paraId="5094A15E" w14:textId="77777777" w:rsidR="00060E28" w:rsidRDefault="00060E28"/>
    <w:p w14:paraId="70FF803E" w14:textId="77777777" w:rsidR="00060E28" w:rsidRDefault="00AE66FF">
      <w:r>
        <w:rPr>
          <w:b/>
          <w:lang w:val="fr-FR"/>
        </w:rPr>
        <w:t>Nota :</w:t>
      </w:r>
    </w:p>
    <w:p w14:paraId="14E7B659" w14:textId="77777777" w:rsidR="00060E28" w:rsidRDefault="00060E28"/>
    <w:p w14:paraId="184B367F" w14:textId="77777777" w:rsidR="00060E28" w:rsidRDefault="00AE66FF">
      <w:r>
        <w:rPr>
          <w:lang w:val="fr-FR"/>
        </w:rPr>
        <w:t>Selon leur nature, les projets sont susceptibles d’émarger sur des thématiques complémentaires dont certaines sont listées ci-après :</w:t>
      </w:r>
    </w:p>
    <w:p w14:paraId="18766887" w14:textId="77777777" w:rsidR="00060E28" w:rsidRDefault="00060E28">
      <w:pPr>
        <w:jc w:val="both"/>
      </w:pPr>
    </w:p>
    <w:p w14:paraId="1194B3F9" w14:textId="77777777" w:rsidR="00060E28" w:rsidRDefault="00AE66FF">
      <w:pPr>
        <w:numPr>
          <w:ilvl w:val="0"/>
          <w:numId w:val="55"/>
        </w:numPr>
        <w:jc w:val="both"/>
      </w:pPr>
      <w:r>
        <w:rPr>
          <w:lang w:val="fr-FR"/>
        </w:rPr>
        <w:t>Inspection par imagerie des ouvrages</w:t>
      </w:r>
    </w:p>
    <w:p w14:paraId="10C92263" w14:textId="77777777" w:rsidR="00060E28" w:rsidRDefault="00060E28">
      <w:pPr>
        <w:jc w:val="both"/>
      </w:pPr>
    </w:p>
    <w:p w14:paraId="0F38FC05" w14:textId="77777777" w:rsidR="00060E28" w:rsidRDefault="00AE66FF">
      <w:pPr>
        <w:jc w:val="both"/>
      </w:pPr>
      <w:r>
        <w:rPr>
          <w:lang w:val="fr-FR"/>
        </w:rPr>
        <w:t>Les technologies numériques d’acquisition d’images et de fusion de données permettent d’envisager de nouvelles approches pour la surveillance des ouvrages maritimes. Le mot « image » est à prendre ici au sens large : dans les longueurs d’onde du visible, de l’infrarouge, de l’électromagnétisme (radar), etc.</w:t>
      </w:r>
    </w:p>
    <w:p w14:paraId="18290D4E" w14:textId="77777777" w:rsidR="00060E28" w:rsidRDefault="00060E28">
      <w:pPr>
        <w:jc w:val="both"/>
      </w:pPr>
    </w:p>
    <w:p w14:paraId="79F039BB" w14:textId="77777777" w:rsidR="00060E28" w:rsidRDefault="00AE66FF">
      <w:pPr>
        <w:numPr>
          <w:ilvl w:val="0"/>
          <w:numId w:val="56"/>
        </w:numPr>
        <w:jc w:val="both"/>
      </w:pPr>
      <w:r>
        <w:rPr>
          <w:lang w:val="fr-FR"/>
        </w:rPr>
        <w:t>Capteurs innovants ou usage innovant de capteurs pour la surveillance des ouvrages portuaires</w:t>
      </w:r>
    </w:p>
    <w:p w14:paraId="0FE3B751" w14:textId="77777777" w:rsidR="00060E28" w:rsidRDefault="00060E28">
      <w:pPr>
        <w:jc w:val="both"/>
      </w:pPr>
    </w:p>
    <w:p w14:paraId="2DFC65FC" w14:textId="77777777" w:rsidR="00060E28" w:rsidRDefault="00AE66FF">
      <w:pPr>
        <w:jc w:val="both"/>
      </w:pPr>
      <w:r>
        <w:rPr>
          <w:lang w:val="fr-FR"/>
        </w:rPr>
        <w:t>Il peut s’agir de capteurs à bas coût, à faible consommation d’énergie (ou nulle), facilement installables et/ou interrogeables sur un ouvrage en service. Les capteurs peuvent être noyés dans le matériau et interrogeables à la demande, de manière ponctuelle ou en continu. Il peut s’agir de capteurs passifs dont l’alimentation en énergie est réalisée par le dispositif d’acquisition au moment de la mesure, pour suivre des phénomènes lents ou faire des vérifications post aléa, dans des zones inaccessibles pour lesquelles les instrumentations habituelles sont peu adaptées (maintenance/durées du monitoring). L’enjeu est la justesse des résultats, la fiabilité face aux dysfonctionnements potentiels, et la pérennité du système d’instrumentation pendant la durée de vie de l’ouvrage.</w:t>
      </w:r>
    </w:p>
    <w:p w14:paraId="46E139EE" w14:textId="77777777" w:rsidR="00060E28" w:rsidRDefault="00060E28">
      <w:pPr>
        <w:jc w:val="both"/>
      </w:pPr>
    </w:p>
    <w:p w14:paraId="497840F1" w14:textId="77777777" w:rsidR="00060E28" w:rsidRDefault="00AE66FF">
      <w:pPr>
        <w:numPr>
          <w:ilvl w:val="0"/>
          <w:numId w:val="55"/>
        </w:numPr>
        <w:jc w:val="both"/>
      </w:pPr>
      <w:r>
        <w:rPr>
          <w:lang w:val="fr-FR"/>
        </w:rPr>
        <w:t>Apprentissage automatique basé sur l’intelligence artificielle appliquée à l’instrumentation</w:t>
      </w:r>
    </w:p>
    <w:p w14:paraId="25604375" w14:textId="77777777" w:rsidR="00060E28" w:rsidRDefault="00060E28">
      <w:pPr>
        <w:jc w:val="both"/>
      </w:pPr>
    </w:p>
    <w:p w14:paraId="7908942D" w14:textId="77777777" w:rsidR="00060E28" w:rsidRDefault="00AE66FF">
      <w:r>
        <w:rPr>
          <w:lang w:val="fr-FR"/>
        </w:rPr>
        <w:t>L’instrumentation des ouvrages peut générer de grands volumes de données hétérogènes qui doivent pouvoir être interprétées de la manière la plus pertinente et la plus automatisée possible. Le traitement et l’interprétation de telles données nécessitent l’usage d’outils incluant des algorithmes mathématiques, facilitant le diagnostic comportemental et la prise de décision. L’utilisation des techniques d’intelligence artificielle (IA) semble pertinente pour traiter et exploiter des grandes masses de données et réaliser un apprentissage automatique sur la base des données d’instrumentation.</w:t>
      </w:r>
    </w:p>
    <w:p w14:paraId="592976C9" w14:textId="77777777" w:rsidR="00060E28" w:rsidRDefault="00060E28">
      <w:pPr>
        <w:jc w:val="both"/>
      </w:pPr>
      <w:bookmarkStart w:id="176" w:name="__RefHeading___Toc2758_583731680"/>
    </w:p>
    <w:p w14:paraId="26BEE15A" w14:textId="77777777" w:rsidR="00060E28" w:rsidRDefault="00060E28"/>
    <w:p w14:paraId="03D7F57E" w14:textId="77777777" w:rsidR="00060E28" w:rsidRDefault="00060E28">
      <w:bookmarkStart w:id="177" w:name="_Toc40"/>
    </w:p>
    <w:p w14:paraId="0EF1944E" w14:textId="77777777" w:rsidR="00060E28" w:rsidRDefault="00AE66FF">
      <w:pPr>
        <w:pStyle w:val="Titre1"/>
        <w:pageBreakBefore/>
      </w:pPr>
      <w:bookmarkStart w:id="178" w:name="_Toc97630319"/>
      <w:bookmarkStart w:id="179" w:name="_Toc97665362"/>
      <w:bookmarkStart w:id="180" w:name="_Toc100582439"/>
      <w:r>
        <w:rPr>
          <w:lang w:val="fr-FR"/>
        </w:rPr>
        <w:lastRenderedPageBreak/>
        <w:t>Annexe 2 : TRL / Niveau de maturité technologique</w:t>
      </w:r>
      <w:bookmarkEnd w:id="176"/>
      <w:bookmarkEnd w:id="177"/>
      <w:bookmarkEnd w:id="178"/>
      <w:bookmarkEnd w:id="179"/>
      <w:bookmarkEnd w:id="180"/>
    </w:p>
    <w:p w14:paraId="64D32A48" w14:textId="77777777" w:rsidR="00060E28" w:rsidRDefault="00060E28">
      <w:pPr>
        <w:jc w:val="center"/>
      </w:pPr>
    </w:p>
    <w:tbl>
      <w:tblPr>
        <w:tblW w:w="10063" w:type="dxa"/>
        <w:tblLayout w:type="fixed"/>
        <w:tblCellMar>
          <w:left w:w="10" w:type="dxa"/>
          <w:right w:w="10" w:type="dxa"/>
        </w:tblCellMar>
        <w:tblLook w:val="04A0" w:firstRow="1" w:lastRow="0" w:firstColumn="1" w:lastColumn="0" w:noHBand="0" w:noVBand="1"/>
      </w:tblPr>
      <w:tblGrid>
        <w:gridCol w:w="3632"/>
        <w:gridCol w:w="6431"/>
      </w:tblGrid>
      <w:tr w:rsidR="00060E28" w14:paraId="42ADD95B" w14:textId="77777777">
        <w:tc>
          <w:tcPr>
            <w:tcW w:w="363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40A03F8" w14:textId="77777777" w:rsidR="00060E28" w:rsidRDefault="00AE66FF">
            <w:pPr>
              <w:pStyle w:val="TableContents"/>
            </w:pPr>
            <w:r>
              <w:rPr>
                <w:rFonts w:ascii="Arial" w:eastAsia="Arial" w:hAnsi="Arial" w:cs="Arial"/>
                <w:color w:val="484D7A"/>
                <w:sz w:val="20"/>
                <w:lang w:val="fr-FR"/>
              </w:rPr>
              <w:t>TRL / Niveau de maturité technologique</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F470594" w14:textId="77777777" w:rsidR="00060E28" w:rsidRDefault="00AE66FF">
            <w:pPr>
              <w:pStyle w:val="TableContents"/>
            </w:pPr>
            <w:r>
              <w:rPr>
                <w:rFonts w:ascii="Arial" w:eastAsia="Arial" w:hAnsi="Arial" w:cs="Arial"/>
                <w:color w:val="484D7A"/>
                <w:sz w:val="20"/>
                <w:lang w:val="fr-FR"/>
              </w:rPr>
              <w:t>Description</w:t>
            </w:r>
          </w:p>
        </w:tc>
      </w:tr>
      <w:tr w:rsidR="00060E28" w14:paraId="6187B0A7"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227842B0" w14:textId="77777777" w:rsidR="00060E28" w:rsidRDefault="00AE66FF">
            <w:pPr>
              <w:pStyle w:val="TableContents"/>
            </w:pPr>
            <w:r>
              <w:rPr>
                <w:rFonts w:ascii="Arial" w:eastAsia="Arial" w:hAnsi="Arial" w:cs="Arial"/>
                <w:color w:val="484D7A"/>
                <w:sz w:val="20"/>
                <w:lang w:val="fr-FR"/>
              </w:rPr>
              <w:t>1. Principes de base observés et rapportés</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A3307A" w14:textId="77777777" w:rsidR="00060E28" w:rsidRDefault="00AE66FF">
            <w:pPr>
              <w:pStyle w:val="TableContents"/>
            </w:pPr>
            <w:r>
              <w:rPr>
                <w:rFonts w:ascii="Arial" w:eastAsia="Arial" w:hAnsi="Arial" w:cs="Arial"/>
                <w:color w:val="484D7A"/>
                <w:sz w:val="20"/>
                <w:lang w:val="fr-FR"/>
              </w:rPr>
              <w:t>Plus bas niveau de maturité technologique. La recherche scientifique commence à se traduire en recherche appliquée et développement. Les exemples peuvent inclure des études papiers des propriétés de base d'une technologie.</w:t>
            </w:r>
          </w:p>
        </w:tc>
      </w:tr>
      <w:tr w:rsidR="00060E28" w14:paraId="26AE74B6"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2D90EC15" w14:textId="77777777" w:rsidR="00060E28" w:rsidRDefault="00AE66FF">
            <w:pPr>
              <w:pStyle w:val="TableContents"/>
            </w:pPr>
            <w:r>
              <w:rPr>
                <w:rFonts w:ascii="Arial" w:eastAsia="Arial" w:hAnsi="Arial" w:cs="Arial"/>
                <w:color w:val="484D7A"/>
                <w:sz w:val="20"/>
                <w:lang w:val="fr-FR"/>
              </w:rPr>
              <w:t>2. Concepts ou applications de la technologie formulés</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BDAD4F" w14:textId="77777777" w:rsidR="00060E28" w:rsidRDefault="00AE66FF">
            <w:pPr>
              <w:pStyle w:val="TableContents"/>
            </w:pPr>
            <w:r>
              <w:rPr>
                <w:rFonts w:ascii="Arial" w:eastAsia="Arial" w:hAnsi="Arial" w:cs="Arial"/>
                <w:color w:val="484D7A"/>
                <w:sz w:val="20"/>
                <w:lang w:val="fr-FR"/>
              </w:rPr>
              <w:t>L'invention débute. Une fois les principes de base observés, les applications pratiques peuvent être inventées. L'application est spéculative et il n'y a aucune preuve ou analyse détaillée pour étayer cette hypothèse. Les exemples sont toujours limités à des études papier.</w:t>
            </w:r>
          </w:p>
        </w:tc>
      </w:tr>
      <w:tr w:rsidR="00060E28" w14:paraId="32E8A2ED"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0DC028C3" w14:textId="77777777" w:rsidR="00060E28" w:rsidRDefault="00AE66FF">
            <w:pPr>
              <w:pStyle w:val="TableContents"/>
            </w:pPr>
            <w:r>
              <w:rPr>
                <w:rFonts w:ascii="Arial" w:eastAsia="Arial" w:hAnsi="Arial" w:cs="Arial"/>
                <w:color w:val="484D7A"/>
                <w:sz w:val="20"/>
                <w:lang w:val="fr-FR"/>
              </w:rPr>
              <w:t>3. Fonction critique analysée et expérimentée ou preuve caractéristique du concept</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E86EA0" w14:textId="77777777" w:rsidR="00060E28" w:rsidRDefault="00AE66FF">
            <w:pPr>
              <w:pStyle w:val="TableContents"/>
            </w:pPr>
            <w:r>
              <w:rPr>
                <w:rFonts w:ascii="Arial" w:eastAsia="Arial" w:hAnsi="Arial" w:cs="Arial"/>
                <w:color w:val="484D7A"/>
                <w:sz w:val="20"/>
                <w:lang w:val="fr-FR"/>
              </w:rPr>
              <w:t>Une recherche et développement active est initiée. Ceci inclut des études analytiques et des études en laboratoire afin de valider physiquement les prévisions analytiques des éléments séparés de la technologie. Les exemples incluent des composants qui ne sont pas encore intégrés ou représentatifs.</w:t>
            </w:r>
          </w:p>
        </w:tc>
      </w:tr>
      <w:tr w:rsidR="00060E28" w14:paraId="06C7EBC9"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21BF3DC9" w14:textId="77777777" w:rsidR="00060E28" w:rsidRDefault="00AE66FF">
            <w:pPr>
              <w:pStyle w:val="TableContents"/>
            </w:pPr>
            <w:r>
              <w:rPr>
                <w:rFonts w:ascii="Arial" w:eastAsia="Arial" w:hAnsi="Arial" w:cs="Arial"/>
                <w:color w:val="484D7A"/>
                <w:sz w:val="20"/>
                <w:lang w:val="fr-FR"/>
              </w:rPr>
              <w:t>4. Validation en laboratoire du composant ou de l'artefact produit</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B1F9C6" w14:textId="77777777" w:rsidR="00060E28" w:rsidRDefault="00AE66FF">
            <w:pPr>
              <w:pStyle w:val="TableContents"/>
            </w:pPr>
            <w:r>
              <w:rPr>
                <w:rFonts w:ascii="Arial" w:eastAsia="Arial" w:hAnsi="Arial" w:cs="Arial"/>
                <w:color w:val="484D7A"/>
                <w:sz w:val="20"/>
                <w:lang w:val="fr-FR"/>
              </w:rPr>
              <w:t>Les composants technologiques de base sont intégrés afin d'établir que toutes les parties fonctionnent ensemble. C'est une "basse fidélité" comparée au système final. Les exemples incluent l'intégration 'ad hoc' du matériel en laboratoire.</w:t>
            </w:r>
          </w:p>
        </w:tc>
      </w:tr>
      <w:tr w:rsidR="00060E28" w14:paraId="0CBF60E6"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3EAD431B" w14:textId="77777777" w:rsidR="00060E28" w:rsidRDefault="00AE66FF">
            <w:pPr>
              <w:pStyle w:val="TableContents"/>
            </w:pPr>
            <w:r>
              <w:rPr>
                <w:rFonts w:ascii="Arial" w:eastAsia="Arial" w:hAnsi="Arial" w:cs="Arial"/>
                <w:color w:val="484D7A"/>
                <w:sz w:val="20"/>
                <w:lang w:val="fr-FR"/>
              </w:rPr>
              <w:t>5. Validation dans un environnement significatif du composant ou de l'artefact produit</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F4286B" w14:textId="77777777" w:rsidR="00060E28" w:rsidRDefault="00AE66FF">
            <w:pPr>
              <w:pStyle w:val="TableContents"/>
            </w:pPr>
            <w:r>
              <w:rPr>
                <w:rFonts w:ascii="Arial" w:eastAsia="Arial" w:hAnsi="Arial" w:cs="Arial"/>
                <w:color w:val="484D7A"/>
                <w:sz w:val="20"/>
                <w:lang w:val="fr-FR"/>
              </w:rPr>
              <w:t>La fidélité de la technologie s'accroit significativement. Les composants technologiques basiques sont intégrés avec des éléments raisonnablement réalistes afin que la technologie soit testée dans un environnement simulé. Les exemples incluent l'intégration '</w:t>
            </w:r>
            <w:proofErr w:type="spellStart"/>
            <w:r>
              <w:rPr>
                <w:rFonts w:ascii="Arial" w:eastAsia="Arial" w:hAnsi="Arial" w:cs="Arial"/>
                <w:color w:val="484D7A"/>
                <w:sz w:val="20"/>
                <w:lang w:val="fr-FR"/>
              </w:rPr>
              <w:t>haute fidélité</w:t>
            </w:r>
            <w:proofErr w:type="spellEnd"/>
            <w:r>
              <w:rPr>
                <w:rFonts w:ascii="Arial" w:eastAsia="Arial" w:hAnsi="Arial" w:cs="Arial"/>
                <w:color w:val="484D7A"/>
                <w:sz w:val="20"/>
                <w:lang w:val="fr-FR"/>
              </w:rPr>
              <w:t>' en laboratoire des composants.</w:t>
            </w:r>
          </w:p>
        </w:tc>
      </w:tr>
      <w:tr w:rsidR="00060E28" w14:paraId="6D3D7697"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24F50ABC" w14:textId="77777777" w:rsidR="00060E28" w:rsidRDefault="00AE66FF">
            <w:pPr>
              <w:pStyle w:val="TableContents"/>
            </w:pPr>
            <w:r>
              <w:rPr>
                <w:rFonts w:ascii="Arial" w:eastAsia="Arial" w:hAnsi="Arial" w:cs="Arial"/>
                <w:color w:val="484D7A"/>
                <w:sz w:val="20"/>
                <w:lang w:val="fr-FR"/>
              </w:rPr>
              <w:t>6. Démonstration du modèle système / sous-système ou du prototype dans un environnement significatif</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A98418" w14:textId="77777777" w:rsidR="00060E28" w:rsidRDefault="00AE66FF">
            <w:pPr>
              <w:pStyle w:val="TableContents"/>
            </w:pPr>
            <w:r>
              <w:rPr>
                <w:rFonts w:ascii="Arial" w:eastAsia="Arial" w:hAnsi="Arial" w:cs="Arial"/>
                <w:color w:val="484D7A"/>
                <w:sz w:val="20"/>
                <w:lang w:val="fr-FR"/>
              </w:rPr>
              <w:t>Le modèle ou le système prototype représentatif (bien au-delà de l'artefact testé en TRL 5) est testé dans un environnement significatif. Il représente une avancée majeure dans la maturité démontrée d'une technologie. Les exemples incluent le test d'un prototype dans un laboratoire "</w:t>
            </w:r>
            <w:proofErr w:type="spellStart"/>
            <w:r>
              <w:rPr>
                <w:rFonts w:ascii="Arial" w:eastAsia="Arial" w:hAnsi="Arial" w:cs="Arial"/>
                <w:color w:val="484D7A"/>
                <w:sz w:val="20"/>
                <w:lang w:val="fr-FR"/>
              </w:rPr>
              <w:t>haute fidélité</w:t>
            </w:r>
            <w:proofErr w:type="spellEnd"/>
            <w:r>
              <w:rPr>
                <w:rFonts w:ascii="Arial" w:eastAsia="Arial" w:hAnsi="Arial" w:cs="Arial"/>
                <w:color w:val="484D7A"/>
                <w:sz w:val="20"/>
                <w:lang w:val="fr-FR"/>
              </w:rPr>
              <w:t>" ou dans un environnement opérationnel simulé.</w:t>
            </w:r>
          </w:p>
        </w:tc>
      </w:tr>
      <w:tr w:rsidR="00060E28" w14:paraId="6E27FFC8"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69FB71F1" w14:textId="77777777" w:rsidR="00060E28" w:rsidRDefault="00AE66FF">
            <w:pPr>
              <w:pStyle w:val="TableContents"/>
            </w:pPr>
            <w:r>
              <w:rPr>
                <w:rFonts w:ascii="Arial" w:eastAsia="Arial" w:hAnsi="Arial" w:cs="Arial"/>
                <w:color w:val="484D7A"/>
                <w:sz w:val="20"/>
                <w:lang w:val="fr-FR"/>
              </w:rPr>
              <w:t>7. Démonstration du système prototype en environnement opérationnel</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4F2AC0" w14:textId="77777777" w:rsidR="00060E28" w:rsidRDefault="00AE66FF">
            <w:pPr>
              <w:pStyle w:val="TableContents"/>
            </w:pPr>
            <w:r>
              <w:rPr>
                <w:rFonts w:ascii="Arial" w:eastAsia="Arial" w:hAnsi="Arial" w:cs="Arial"/>
                <w:color w:val="484D7A"/>
                <w:sz w:val="20"/>
                <w:lang w:val="fr-FR"/>
              </w:rPr>
              <w:t>Prototype dans un système planifié (ou sur le point de l'être). Représente une avancée majeure par rapport à TRL 6, nécessitant la démonstration d'un système prototype dans un environnement opérationnel, tel qu'un avion, véhicule... Les exemples incluent le test du prototype sur un avion d'essai.</w:t>
            </w:r>
          </w:p>
        </w:tc>
      </w:tr>
      <w:tr w:rsidR="00060E28" w14:paraId="365990EB"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0F8C9B90" w14:textId="77777777" w:rsidR="00060E28" w:rsidRDefault="00AE66FF">
            <w:pPr>
              <w:pStyle w:val="TableContents"/>
            </w:pPr>
            <w:r>
              <w:rPr>
                <w:rFonts w:ascii="Arial" w:eastAsia="Arial" w:hAnsi="Arial" w:cs="Arial"/>
                <w:color w:val="484D7A"/>
                <w:sz w:val="20"/>
                <w:lang w:val="fr-FR"/>
              </w:rPr>
              <w:t>8. Système réel complet qualifié à travers des tests et des démonstrations</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389930" w14:textId="77777777" w:rsidR="00060E28" w:rsidRDefault="00AE66FF">
            <w:pPr>
              <w:pStyle w:val="TableContents"/>
            </w:pPr>
            <w:r>
              <w:rPr>
                <w:rFonts w:ascii="Arial" w:eastAsia="Arial" w:hAnsi="Arial" w:cs="Arial"/>
                <w:color w:val="484D7A"/>
                <w:sz w:val="20"/>
                <w:lang w:val="fr-FR"/>
              </w:rPr>
              <w:t>La preuve a été apportée que la technologie fonctionne sous sa forme finale et avec les conditions attendues. Dans la plupart des cas, cette TRL représente la fin du développement de vrais systèmes. Les exemples incluent des tests de développement et l'évaluation du système afin de déterminer s'il respecte les spécifications du design.</w:t>
            </w:r>
          </w:p>
        </w:tc>
      </w:tr>
      <w:tr w:rsidR="00060E28" w14:paraId="358D9B6C" w14:textId="77777777">
        <w:tc>
          <w:tcPr>
            <w:tcW w:w="3632" w:type="dxa"/>
            <w:tcBorders>
              <w:left w:val="single" w:sz="4" w:space="0" w:color="000000"/>
              <w:bottom w:val="single" w:sz="4" w:space="0" w:color="000000"/>
            </w:tcBorders>
            <w:shd w:val="clear" w:color="auto" w:fill="auto"/>
            <w:tcMar>
              <w:top w:w="55" w:type="dxa"/>
              <w:left w:w="55" w:type="dxa"/>
              <w:bottom w:w="55" w:type="dxa"/>
              <w:right w:w="55" w:type="dxa"/>
            </w:tcMar>
          </w:tcPr>
          <w:p w14:paraId="25194FFB" w14:textId="77777777" w:rsidR="00060E28" w:rsidRDefault="00AE66FF">
            <w:pPr>
              <w:pStyle w:val="TableContents"/>
            </w:pPr>
            <w:r>
              <w:rPr>
                <w:rFonts w:ascii="Arial" w:eastAsia="Arial" w:hAnsi="Arial" w:cs="Arial"/>
                <w:color w:val="484D7A"/>
                <w:sz w:val="20"/>
                <w:lang w:val="fr-FR"/>
              </w:rPr>
              <w:t>9. Système réel prouvé à travers des opérations / missions réussies</w:t>
            </w:r>
          </w:p>
        </w:tc>
        <w:tc>
          <w:tcPr>
            <w:tcW w:w="643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1E0408" w14:textId="77777777" w:rsidR="00060E28" w:rsidRDefault="00AE66FF">
            <w:pPr>
              <w:pStyle w:val="TableContents"/>
            </w:pPr>
            <w:r>
              <w:rPr>
                <w:rFonts w:ascii="Arial" w:eastAsia="Arial" w:hAnsi="Arial" w:cs="Arial"/>
                <w:color w:val="484D7A"/>
                <w:sz w:val="20"/>
                <w:lang w:val="fr-FR"/>
              </w:rPr>
              <w:t>Application réelle de la technologie sous sa forme finale et en conditions de mission, semblables à celles rencontrées lors de tests opérationnels et d'évaluation. Dans tous les cas, c'est la fin des derniers aspects de corrections de problèmes (bug fixing) du développement de vrais systèmes. Les exemples incluent l'utilisation du système sous conditions de mission opérationnelle.</w:t>
            </w:r>
          </w:p>
        </w:tc>
      </w:tr>
    </w:tbl>
    <w:p w14:paraId="14904306" w14:textId="77777777" w:rsidR="00060E28" w:rsidRDefault="00060E28"/>
    <w:p w14:paraId="7D67E6E9" w14:textId="77777777" w:rsidR="00060E28" w:rsidRDefault="00060E28">
      <w:bookmarkStart w:id="181" w:name="__RefHeading___Toc2762_583731680"/>
    </w:p>
    <w:p w14:paraId="16127F85" w14:textId="77777777" w:rsidR="00060E28" w:rsidRDefault="00060E28">
      <w:bookmarkStart w:id="182" w:name="_Toc41"/>
    </w:p>
    <w:p w14:paraId="5EB2C2FE" w14:textId="77777777" w:rsidR="00060E28" w:rsidRDefault="00AE66FF">
      <w:pPr>
        <w:pStyle w:val="Titre1"/>
        <w:pageBreakBefore/>
      </w:pPr>
      <w:bookmarkStart w:id="183" w:name="_Toc97630320"/>
      <w:bookmarkStart w:id="184" w:name="_Toc97665363"/>
      <w:bookmarkStart w:id="185" w:name="_Toc100582440"/>
      <w:r>
        <w:rPr>
          <w:lang w:val="fr-FR"/>
        </w:rPr>
        <w:lastRenderedPageBreak/>
        <w:t>Annexe 3 : Instrumentation de surveillance structurale et instrumentation prédictive</w:t>
      </w:r>
      <w:bookmarkEnd w:id="181"/>
      <w:bookmarkEnd w:id="182"/>
      <w:bookmarkEnd w:id="183"/>
      <w:bookmarkEnd w:id="184"/>
      <w:bookmarkEnd w:id="185"/>
    </w:p>
    <w:p w14:paraId="0AEF7486" w14:textId="77777777" w:rsidR="00060E28" w:rsidRDefault="00060E28"/>
    <w:p w14:paraId="1F5601E3" w14:textId="77777777" w:rsidR="00060E28" w:rsidRDefault="00AE66FF">
      <w:pPr>
        <w:jc w:val="both"/>
      </w:pPr>
      <w:r>
        <w:rPr>
          <w:lang w:val="fr-FR"/>
        </w:rPr>
        <w:t>L’instrumentation de surveillance structurale est une instrumentation de long terme (plusieurs années à plusieurs décennies) destinée à améliorer la connaissance de l’évolution du fonctionnement de la structure. Elle génère des indicateurs permettant d’aider le gestionnaire dans la connaissance de la durée de vie de ses ouvrages et la programmation de ses travaux d’entretien. Elle est notamment susceptible de quantifier l’endommagement de la structure et de détecter les comportements irréversibles de long terme.</w:t>
      </w:r>
    </w:p>
    <w:p w14:paraId="419326B3" w14:textId="77777777" w:rsidR="00060E28" w:rsidRDefault="00060E28">
      <w:pPr>
        <w:jc w:val="both"/>
      </w:pPr>
    </w:p>
    <w:p w14:paraId="45407493" w14:textId="77777777" w:rsidR="00060E28" w:rsidRDefault="00AE66FF">
      <w:pPr>
        <w:jc w:val="both"/>
      </w:pPr>
      <w:r>
        <w:rPr>
          <w:lang w:val="fr-FR"/>
        </w:rPr>
        <w:t>L’instrumentation peut être prédictive si elle est en mesure d’indiquer à quelle date certains seuils de performance minimaux seront atteints et nécessiteront d’entreprendre des travaux. Ceci nécessite toutefois de pouvoir paramétrer des modèles prédictifs à l’aide des données collectées par l’instrumentation.</w:t>
      </w:r>
    </w:p>
    <w:p w14:paraId="54C4F32F" w14:textId="77777777" w:rsidR="00060E28" w:rsidRDefault="00060E28">
      <w:pPr>
        <w:jc w:val="both"/>
      </w:pPr>
    </w:p>
    <w:p w14:paraId="22B22C5D" w14:textId="77777777" w:rsidR="00060E28" w:rsidRDefault="00AE66FF">
      <w:pPr>
        <w:jc w:val="both"/>
      </w:pPr>
      <w:r>
        <w:rPr>
          <w:lang w:val="fr-FR"/>
        </w:rPr>
        <w:t>L’instrumentation prédictive, largement pratiquée dans le monde industriel (ex : mesures de la vibration de machines tournantes), reste encore peu développée dans le domaine des ouvrages d’art. En effet, beaucoup de lois d’endommagement du génie civil concernent des phénomènes à évolution lente (carbonatation, pénétration d’agents agressifs, réaction de gonflement interne, corrosion des aciers passifs) dont le suivi est réalisé par intervention ponctuelle d’un agent pour mesurer une donnée plutôt que par une instrumentation permanente. D’autres phénomènes d’endommagement, comme ceux dus à la fatigue des matériaux, qui pourraient être l’objet d’une instrumentation prédictive, sont généralement traités au niveau de la conception des ouvrages.</w:t>
      </w:r>
    </w:p>
    <w:p w14:paraId="285CC0E8" w14:textId="77777777" w:rsidR="00060E28" w:rsidRDefault="00060E28">
      <w:pPr>
        <w:jc w:val="both"/>
      </w:pPr>
    </w:p>
    <w:p w14:paraId="096144F3" w14:textId="77777777" w:rsidR="00060E28" w:rsidRDefault="00AE66FF">
      <w:pPr>
        <w:jc w:val="both"/>
      </w:pPr>
      <w:r>
        <w:rPr>
          <w:lang w:val="fr-FR"/>
        </w:rPr>
        <w:t>L’instrumentation de surveillance structurale est actuellement réservée aux grands ouvrages pour surveiller les éléments les plus sensibles (tensions et vibrations des haubans, tensions des suspentes, verticalité des piles et des pylônes de grande hauteur, fonctionnement des appareils d’appui). Elle est souvent constituée d’une partie de l’instrumentation de validation dont les caractéristiques de longévité ont été adaptées. Dans certains cas, une partie des mesures peut être associée à des seuils d’alerte et, donc, être intégrée dans un dispositif de haute surveillance. A ce titre, l’instrumentation du pont de Rion-</w:t>
      </w:r>
      <w:proofErr w:type="spellStart"/>
      <w:r>
        <w:rPr>
          <w:lang w:val="fr-FR"/>
        </w:rPr>
        <w:t>Antirion</w:t>
      </w:r>
      <w:proofErr w:type="spellEnd"/>
      <w:r>
        <w:rPr>
          <w:lang w:val="fr-FR"/>
        </w:rPr>
        <w:t xml:space="preserve"> (Grèce) vis-à-vis de l’aléa sismique est un exemple de référence.</w:t>
      </w:r>
    </w:p>
    <w:p w14:paraId="739EC862" w14:textId="77777777" w:rsidR="00060E28" w:rsidRDefault="00060E28">
      <w:pPr>
        <w:jc w:val="both"/>
      </w:pPr>
    </w:p>
    <w:p w14:paraId="2D7A5AF4" w14:textId="77777777" w:rsidR="00060E28" w:rsidRDefault="00AE66FF">
      <w:pPr>
        <w:jc w:val="both"/>
        <w:sectPr w:rsidR="00060E28">
          <w:headerReference w:type="even" r:id="rId16"/>
          <w:headerReference w:type="default" r:id="rId17"/>
          <w:footerReference w:type="even" r:id="rId18"/>
          <w:footerReference w:type="default" r:id="rId19"/>
          <w:pgSz w:w="11900" w:h="16838"/>
          <w:pgMar w:top="1540" w:right="873" w:bottom="1161" w:left="964" w:header="1196" w:footer="964" w:gutter="0"/>
          <w:cols w:space="720"/>
        </w:sectPr>
      </w:pPr>
      <w:r>
        <w:rPr>
          <w:lang w:val="fr-FR"/>
        </w:rPr>
        <w:t>Certains maîtres d’ouvrage gèrent un nombre plus ou moins important d’ouvrages dont la conception initiale, le mode de construction et les facteurs de vieillissement sont proches. Le gestionnaire peut alors adapter les méthodes de surveillance structurale à son parc en ciblant quelques ouvrages représentatifs de son patrimoine. Les constructions étant souvent étalées sur plusieurs années, il est possible d’accéder à différents stades de vieillissement pour tenter d’établir des lois d’endommagement propres à une famille d’ouvrages. Il faut noter que cette démarche, encore peu répandue, fait actuellement l’objet de développements qui méritent d’être évalués.</w:t>
      </w:r>
    </w:p>
    <w:p w14:paraId="4A000627" w14:textId="77777777" w:rsidR="00060E28" w:rsidRDefault="00060E28">
      <w:pPr>
        <w:jc w:val="both"/>
      </w:pPr>
    </w:p>
    <w:sectPr w:rsidR="00060E28">
      <w:headerReference w:type="even" r:id="rId20"/>
      <w:headerReference w:type="default" r:id="rId21"/>
      <w:footerReference w:type="even" r:id="rId22"/>
      <w:footerReference w:type="default" r:id="rId23"/>
      <w:pgSz w:w="11900" w:h="16838"/>
      <w:pgMar w:top="9746" w:right="873" w:bottom="1162" w:left="964" w:header="346"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B45B8" w14:textId="77777777" w:rsidR="00F70BCC" w:rsidRDefault="00F70BCC">
      <w:r>
        <w:separator/>
      </w:r>
    </w:p>
  </w:endnote>
  <w:endnote w:type="continuationSeparator" w:id="0">
    <w:p w14:paraId="5C948B10" w14:textId="77777777" w:rsidR="00F70BCC" w:rsidRDefault="00F7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D4560" w14:textId="77777777" w:rsidR="000A499E" w:rsidRDefault="000A499E">
    <w:pPr>
      <w:pStyle w:val="Pieddepage"/>
      <w:ind w:right="-1"/>
    </w:pPr>
  </w:p>
  <w:p w14:paraId="14CB59A1" w14:textId="77777777" w:rsidR="000A499E" w:rsidRDefault="000A499E">
    <w:pPr>
      <w:pStyle w:val="Pieddepage"/>
      <w:ind w:right="-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712C" w14:textId="77777777" w:rsidR="000A499E" w:rsidRDefault="000A499E">
    <w:pPr>
      <w:pStyle w:val="Pieddepage"/>
      <w:ind w:right="-1"/>
    </w:pPr>
  </w:p>
  <w:p w14:paraId="4117886A" w14:textId="77777777" w:rsidR="000A499E" w:rsidRDefault="000A499E">
    <w:pPr>
      <w:pStyle w:val="Pieddepage"/>
      <w:ind w:right="-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EE9F" w14:textId="77777777" w:rsidR="000A499E" w:rsidRDefault="000A499E">
    <w:pPr>
      <w:pStyle w:val="Pieddepage"/>
    </w:pPr>
  </w:p>
  <w:p w14:paraId="2D5727E0" w14:textId="77777777" w:rsidR="000A499E" w:rsidRDefault="000A499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C68E" w14:textId="77777777" w:rsidR="000A499E" w:rsidRDefault="000A499E">
    <w:pPr>
      <w:pStyle w:val="Pieddepage"/>
    </w:pPr>
  </w:p>
  <w:p w14:paraId="189D192B" w14:textId="77777777" w:rsidR="000A499E" w:rsidRDefault="000A499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ADF9" w14:textId="77777777" w:rsidR="000A499E" w:rsidRDefault="000A499E">
    <w:pPr>
      <w:pStyle w:val="Standard"/>
      <w:spacing w:line="480" w:lineRule="auto"/>
      <w:ind w:right="-1"/>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A0190" w14:textId="77777777" w:rsidR="000A499E" w:rsidRDefault="000A499E">
    <w:pPr>
      <w:pStyle w:val="Standard"/>
      <w:spacing w:line="480" w:lineRule="auto"/>
      <w:ind w:right="-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E858D" w14:textId="77777777" w:rsidR="00F70BCC" w:rsidRDefault="00F70BCC">
      <w:r>
        <w:separator/>
      </w:r>
    </w:p>
  </w:footnote>
  <w:footnote w:type="continuationSeparator" w:id="0">
    <w:p w14:paraId="3F376079" w14:textId="77777777" w:rsidR="00F70BCC" w:rsidRDefault="00F7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2EAA" w14:textId="77777777" w:rsidR="000A499E" w:rsidRDefault="000A499E">
    <w:pPr>
      <w:pStyle w:val="En-tte"/>
      <w:ind w:right="-282"/>
    </w:pPr>
    <w:r>
      <w:rPr>
        <w:noProof/>
        <w:lang w:val="fr-FR"/>
      </w:rPr>
      <w:drawing>
        <wp:anchor distT="0" distB="0" distL="114300" distR="114300" simplePos="0" relativeHeight="251659264" behindDoc="0" locked="0" layoutInCell="1" allowOverlap="1" wp14:anchorId="3C4AF7B8" wp14:editId="230E24EA">
          <wp:simplePos x="0" y="0"/>
          <wp:positionH relativeFrom="column">
            <wp:posOffset>3143158</wp:posOffset>
          </wp:positionH>
          <wp:positionV relativeFrom="paragraph">
            <wp:posOffset>-122401</wp:posOffset>
          </wp:positionV>
          <wp:extent cx="3145316" cy="905402"/>
          <wp:effectExtent l="0" t="0" r="0" b="8998"/>
          <wp:wrapSquare wrapText="bothSides"/>
          <wp:docPr id="3"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blip>
                  <a:srcRect r="14941"/>
                  <a:stretch>
                    <a:fillRect/>
                  </a:stretch>
                </pic:blipFill>
                <pic:spPr>
                  <a:xfrm>
                    <a:off x="0" y="0"/>
                    <a:ext cx="3145316" cy="905402"/>
                  </a:xfrm>
                  <a:prstGeom prst="rect">
                    <a:avLst/>
                  </a:prstGeom>
                  <a:noFill/>
                  <a:ln>
                    <a:noFill/>
                    <a:prstDash/>
                  </a:ln>
                </pic:spPr>
              </pic:pic>
            </a:graphicData>
          </a:graphic>
        </wp:anchor>
      </w:drawing>
    </w:r>
    <w:r>
      <w:rPr>
        <w:noProof/>
        <w:lang w:val="fr-FR"/>
      </w:rPr>
      <w:drawing>
        <wp:inline distT="0" distB="0" distL="0" distR="0" wp14:anchorId="70AADB07" wp14:editId="65A19A52">
          <wp:extent cx="1389961" cy="1389961"/>
          <wp:effectExtent l="0" t="0" r="689" b="689"/>
          <wp:docPr id="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lip>
                  <a:stretch>
                    <a:fillRect/>
                  </a:stretch>
                </pic:blipFill>
                <pic:spPr>
                  <a:xfrm>
                    <a:off x="0" y="0"/>
                    <a:ext cx="1389961" cy="1389961"/>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B786" w14:textId="77777777" w:rsidR="000A499E" w:rsidRDefault="000A499E">
    <w:pPr>
      <w:pStyle w:val="En-tte"/>
      <w:ind w:right="-282"/>
    </w:pPr>
    <w:r>
      <w:rPr>
        <w:noProof/>
        <w:lang w:val="fr-FR"/>
      </w:rPr>
      <w:drawing>
        <wp:anchor distT="0" distB="0" distL="114300" distR="114300" simplePos="0" relativeHeight="251661312" behindDoc="0" locked="0" layoutInCell="1" allowOverlap="1" wp14:anchorId="03AA2285" wp14:editId="30FAFCEB">
          <wp:simplePos x="0" y="0"/>
          <wp:positionH relativeFrom="column">
            <wp:posOffset>3143158</wp:posOffset>
          </wp:positionH>
          <wp:positionV relativeFrom="paragraph">
            <wp:posOffset>-122401</wp:posOffset>
          </wp:positionV>
          <wp:extent cx="3145316" cy="905402"/>
          <wp:effectExtent l="0" t="0" r="0" b="8998"/>
          <wp:wrapSquare wrapText="bothSides"/>
          <wp:docPr id="1" name="Imag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blip>
                  <a:srcRect r="14941"/>
                  <a:stretch>
                    <a:fillRect/>
                  </a:stretch>
                </pic:blipFill>
                <pic:spPr>
                  <a:xfrm>
                    <a:off x="0" y="0"/>
                    <a:ext cx="3145316" cy="905402"/>
                  </a:xfrm>
                  <a:prstGeom prst="rect">
                    <a:avLst/>
                  </a:prstGeom>
                  <a:noFill/>
                  <a:ln>
                    <a:noFill/>
                    <a:prstDash/>
                  </a:ln>
                </pic:spPr>
              </pic:pic>
            </a:graphicData>
          </a:graphic>
        </wp:anchor>
      </w:drawing>
    </w:r>
    <w:r>
      <w:rPr>
        <w:noProof/>
        <w:lang w:val="fr-FR"/>
      </w:rPr>
      <w:drawing>
        <wp:inline distT="0" distB="0" distL="0" distR="0" wp14:anchorId="27C58A7B" wp14:editId="605E529E">
          <wp:extent cx="1389961" cy="1389961"/>
          <wp:effectExtent l="0" t="0" r="689" b="689"/>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lip>
                  <a:stretch>
                    <a:fillRect/>
                  </a:stretch>
                </pic:blipFill>
                <pic:spPr>
                  <a:xfrm>
                    <a:off x="0" y="0"/>
                    <a:ext cx="1389961" cy="1389961"/>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D98C" w14:textId="77777777" w:rsidR="000A499E" w:rsidRDefault="000A499E">
    <w:pPr>
      <w:pStyle w:val="En-tte"/>
      <w:ind w:right="-2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6D32" w14:textId="77777777" w:rsidR="000A499E" w:rsidRDefault="000A499E">
    <w:pPr>
      <w:pStyle w:val="En-tte"/>
      <w:ind w:right="-28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E83E" w14:textId="77777777" w:rsidR="000A499E" w:rsidRDefault="000A499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1FA8" w14:textId="77777777" w:rsidR="000A499E" w:rsidRDefault="000A49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D2A"/>
    <w:multiLevelType w:val="multilevel"/>
    <w:tmpl w:val="0EB6D45E"/>
    <w:styleLink w:val="WWNum2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 w15:restartNumberingAfterBreak="0">
    <w:nsid w:val="021333FE"/>
    <w:multiLevelType w:val="multilevel"/>
    <w:tmpl w:val="A4E6AD56"/>
    <w:styleLink w:val="LFO52"/>
    <w:lvl w:ilvl="0">
      <w:start w:val="1"/>
      <w:numFmt w:val="decimal"/>
      <w:pStyle w:val="Style2"/>
      <w:lvlText w:val="1.%1 "/>
      <w:lvlJc w:val="left"/>
      <w:pPr>
        <w:ind w:left="7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F93132"/>
    <w:multiLevelType w:val="multilevel"/>
    <w:tmpl w:val="4B046F1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 w15:restartNumberingAfterBreak="0">
    <w:nsid w:val="04CD4BBB"/>
    <w:multiLevelType w:val="multilevel"/>
    <w:tmpl w:val="009A4AF6"/>
    <w:styleLink w:val="WWNum3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 w15:restartNumberingAfterBreak="0">
    <w:nsid w:val="05CD31EE"/>
    <w:multiLevelType w:val="multilevel"/>
    <w:tmpl w:val="8EC0D47A"/>
    <w:styleLink w:val="WWOutlineListStyle"/>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7F2119C"/>
    <w:multiLevelType w:val="multilevel"/>
    <w:tmpl w:val="950C8A4E"/>
    <w:styleLink w:val="WWOutlineListStyle2"/>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A006134"/>
    <w:multiLevelType w:val="multilevel"/>
    <w:tmpl w:val="A468AE80"/>
    <w:styleLink w:val="WWNum7"/>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AA74AAE"/>
    <w:multiLevelType w:val="multilevel"/>
    <w:tmpl w:val="546AC0CE"/>
    <w:styleLink w:val="WWNum3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15:restartNumberingAfterBreak="0">
    <w:nsid w:val="0DE650E4"/>
    <w:multiLevelType w:val="multilevel"/>
    <w:tmpl w:val="E134288A"/>
    <w:styleLink w:val="WWNum43"/>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0F2404B9"/>
    <w:multiLevelType w:val="multilevel"/>
    <w:tmpl w:val="DD081C28"/>
    <w:styleLink w:val="WWOutlineListStyle7"/>
    <w:lvl w:ilvl="0">
      <w:start w:val="1"/>
      <w:numFmt w:val="none"/>
      <w:lvlText w:val="%1"/>
      <w:lvlJc w:val="left"/>
    </w:lvl>
    <w:lvl w:ilvl="1">
      <w:start w:val="1"/>
      <w:numFmt w:val="decimal"/>
      <w:pStyle w:val="Titre2"/>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5260708"/>
    <w:multiLevelType w:val="multilevel"/>
    <w:tmpl w:val="CF160E9A"/>
    <w:styleLink w:val="WWNum37"/>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1" w15:restartNumberingAfterBreak="0">
    <w:nsid w:val="17681736"/>
    <w:multiLevelType w:val="multilevel"/>
    <w:tmpl w:val="53F0ABC0"/>
    <w:styleLink w:val="WWNum18"/>
    <w:lvl w:ilvl="0">
      <w:start w:val="1"/>
      <w:numFmt w:val="decimal"/>
      <w:lvlText w:val="%1"/>
      <w:lvlJc w:val="left"/>
      <w:pPr>
        <w:ind w:left="432" w:hanging="432"/>
      </w:pPr>
    </w:lvl>
    <w:lvl w:ilvl="1">
      <w:start w:val="1"/>
      <w:numFmt w:val="decimal"/>
      <w:lvlText w:val="%1.%2."/>
      <w:lvlJc w:val="left"/>
      <w:pPr>
        <w:ind w:left="1284" w:hanging="576"/>
      </w:pPr>
    </w:lvl>
    <w:lvl w:ilvl="2">
      <w:start w:val="1"/>
      <w:numFmt w:val="decimal"/>
      <w:lvlText w:val="%1.%2.%3."/>
      <w:lvlJc w:val="left"/>
      <w:pPr>
        <w:ind w:left="2136" w:hanging="720"/>
      </w:pPr>
    </w:lvl>
    <w:lvl w:ilvl="3">
      <w:start w:val="1"/>
      <w:numFmt w:val="decimal"/>
      <w:lvlText w:val="%1.%2.%3.%4."/>
      <w:lvlJc w:val="left"/>
      <w:pPr>
        <w:ind w:left="298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8B05E90"/>
    <w:multiLevelType w:val="multilevel"/>
    <w:tmpl w:val="F642D30E"/>
    <w:styleLink w:val="WWNum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19051C69"/>
    <w:multiLevelType w:val="multilevel"/>
    <w:tmpl w:val="60A2C14E"/>
    <w:styleLink w:val="WWNum47"/>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4" w15:restartNumberingAfterBreak="0">
    <w:nsid w:val="19BA2D6D"/>
    <w:multiLevelType w:val="multilevel"/>
    <w:tmpl w:val="B276CDAE"/>
    <w:styleLink w:val="WWNum3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1D1B4623"/>
    <w:multiLevelType w:val="multilevel"/>
    <w:tmpl w:val="C6C4C7E2"/>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1F3732DB"/>
    <w:multiLevelType w:val="multilevel"/>
    <w:tmpl w:val="96048838"/>
    <w:styleLink w:val="WWNum29"/>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7" w15:restartNumberingAfterBreak="0">
    <w:nsid w:val="1F9D7797"/>
    <w:multiLevelType w:val="multilevel"/>
    <w:tmpl w:val="65BEB670"/>
    <w:styleLink w:val="WWNum31"/>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20AA5792"/>
    <w:multiLevelType w:val="multilevel"/>
    <w:tmpl w:val="8F98400A"/>
    <w:styleLink w:val="WWNum33"/>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2171173D"/>
    <w:multiLevelType w:val="multilevel"/>
    <w:tmpl w:val="7E84FC64"/>
    <w:styleLink w:val="WWOutlineListStyle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22945AC"/>
    <w:multiLevelType w:val="multilevel"/>
    <w:tmpl w:val="2F344FB8"/>
    <w:styleLink w:val="WWNum23"/>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1" w15:restartNumberingAfterBreak="0">
    <w:nsid w:val="24656FB8"/>
    <w:multiLevelType w:val="multilevel"/>
    <w:tmpl w:val="63C62EFE"/>
    <w:styleLink w:val="WWNum3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2" w15:restartNumberingAfterBreak="0">
    <w:nsid w:val="2AF00398"/>
    <w:multiLevelType w:val="multilevel"/>
    <w:tmpl w:val="FE886B90"/>
    <w:styleLink w:val="WWNum6"/>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2CC77A96"/>
    <w:multiLevelType w:val="multilevel"/>
    <w:tmpl w:val="4F3C2EC2"/>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4" w15:restartNumberingAfterBreak="0">
    <w:nsid w:val="2F2134DF"/>
    <w:multiLevelType w:val="multilevel"/>
    <w:tmpl w:val="F822E8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1"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5" w15:restartNumberingAfterBreak="0">
    <w:nsid w:val="31E72C07"/>
    <w:multiLevelType w:val="multilevel"/>
    <w:tmpl w:val="99CA4A94"/>
    <w:styleLink w:val="WWOutlineListStyle4"/>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1FB1C85"/>
    <w:multiLevelType w:val="multilevel"/>
    <w:tmpl w:val="C1F8E616"/>
    <w:styleLink w:val="WWNum9"/>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31FD7984"/>
    <w:multiLevelType w:val="multilevel"/>
    <w:tmpl w:val="165AE146"/>
    <w:styleLink w:val="WWNum48"/>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8" w15:restartNumberingAfterBreak="0">
    <w:nsid w:val="33463D9A"/>
    <w:multiLevelType w:val="multilevel"/>
    <w:tmpl w:val="021AE804"/>
    <w:styleLink w:val="WWNum4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9" w15:restartNumberingAfterBreak="0">
    <w:nsid w:val="35D57258"/>
    <w:multiLevelType w:val="multilevel"/>
    <w:tmpl w:val="EC203C74"/>
    <w:styleLink w:val="WWNum4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0" w15:restartNumberingAfterBreak="0">
    <w:nsid w:val="39827D1E"/>
    <w:multiLevelType w:val="multilevel"/>
    <w:tmpl w:val="57D60CAE"/>
    <w:styleLink w:val="WWNum10"/>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3CDA3B85"/>
    <w:multiLevelType w:val="multilevel"/>
    <w:tmpl w:val="40486CE4"/>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FD47B1C"/>
    <w:multiLevelType w:val="multilevel"/>
    <w:tmpl w:val="4E2660D2"/>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40FE06EB"/>
    <w:multiLevelType w:val="multilevel"/>
    <w:tmpl w:val="4DBA448E"/>
    <w:styleLink w:val="WWNum39"/>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4" w15:restartNumberingAfterBreak="0">
    <w:nsid w:val="4291647E"/>
    <w:multiLevelType w:val="multilevel"/>
    <w:tmpl w:val="F3CA3578"/>
    <w:styleLink w:val="WWNum12"/>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433041A8"/>
    <w:multiLevelType w:val="multilevel"/>
    <w:tmpl w:val="F37A3DFC"/>
    <w:styleLink w:val="WWNum15"/>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43D32DBC"/>
    <w:multiLevelType w:val="multilevel"/>
    <w:tmpl w:val="749025F2"/>
    <w:styleLink w:val="WWOutlineListStyle3"/>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3D930DB"/>
    <w:multiLevelType w:val="multilevel"/>
    <w:tmpl w:val="EF08CE3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47566958"/>
    <w:multiLevelType w:val="multilevel"/>
    <w:tmpl w:val="31086F7C"/>
    <w:styleLink w:val="WWNum38"/>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39" w15:restartNumberingAfterBreak="0">
    <w:nsid w:val="48B74B66"/>
    <w:multiLevelType w:val="multilevel"/>
    <w:tmpl w:val="A26ED214"/>
    <w:styleLink w:val="WWNum41"/>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0" w15:restartNumberingAfterBreak="0">
    <w:nsid w:val="493C3BBE"/>
    <w:multiLevelType w:val="multilevel"/>
    <w:tmpl w:val="56F8E184"/>
    <w:styleLink w:val="WWNum19"/>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9563973"/>
    <w:multiLevelType w:val="multilevel"/>
    <w:tmpl w:val="4B046F16"/>
    <w:styleLink w:val="WWNum28"/>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2" w15:restartNumberingAfterBreak="0">
    <w:nsid w:val="4B7B0356"/>
    <w:multiLevelType w:val="multilevel"/>
    <w:tmpl w:val="77E864B2"/>
    <w:styleLink w:val="WWNum4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3" w15:restartNumberingAfterBreak="0">
    <w:nsid w:val="4E636353"/>
    <w:multiLevelType w:val="multilevel"/>
    <w:tmpl w:val="616AA0FA"/>
    <w:styleLink w:val="WWNum4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1"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51126DA2"/>
    <w:multiLevelType w:val="multilevel"/>
    <w:tmpl w:val="5EF6895C"/>
    <w:styleLink w:val="WWNum21"/>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5" w15:restartNumberingAfterBreak="0">
    <w:nsid w:val="52EF5D08"/>
    <w:multiLevelType w:val="multilevel"/>
    <w:tmpl w:val="AD8EC428"/>
    <w:styleLink w:val="WWNum2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6" w15:restartNumberingAfterBreak="0">
    <w:nsid w:val="55F72C92"/>
    <w:multiLevelType w:val="multilevel"/>
    <w:tmpl w:val="1512D7EE"/>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56E377BE"/>
    <w:multiLevelType w:val="multilevel"/>
    <w:tmpl w:val="E9AE679C"/>
    <w:styleLink w:val="WWNum17"/>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60D222C5"/>
    <w:multiLevelType w:val="multilevel"/>
    <w:tmpl w:val="2A02FF8C"/>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15:restartNumberingAfterBreak="0">
    <w:nsid w:val="65E54E83"/>
    <w:multiLevelType w:val="multilevel"/>
    <w:tmpl w:val="7D28FFFC"/>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663C4AFD"/>
    <w:multiLevelType w:val="multilevel"/>
    <w:tmpl w:val="00065224"/>
    <w:styleLink w:val="WWNum2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1" w15:restartNumberingAfterBreak="0">
    <w:nsid w:val="6B1A042C"/>
    <w:multiLevelType w:val="multilevel"/>
    <w:tmpl w:val="8EDABD30"/>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2" w15:restartNumberingAfterBreak="0">
    <w:nsid w:val="6B306293"/>
    <w:multiLevelType w:val="multilevel"/>
    <w:tmpl w:val="D604EFF2"/>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15:restartNumberingAfterBreak="0">
    <w:nsid w:val="6B5F75EF"/>
    <w:multiLevelType w:val="multilevel"/>
    <w:tmpl w:val="5E789F1A"/>
    <w:styleLink w:val="WWNum4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4" w15:restartNumberingAfterBreak="0">
    <w:nsid w:val="6C610564"/>
    <w:multiLevelType w:val="multilevel"/>
    <w:tmpl w:val="FC26CADC"/>
    <w:styleLink w:val="WWNum49"/>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55" w15:restartNumberingAfterBreak="0">
    <w:nsid w:val="6D8D174F"/>
    <w:multiLevelType w:val="multilevel"/>
    <w:tmpl w:val="D8EE9A96"/>
    <w:styleLink w:val="WWNum5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6" w15:restartNumberingAfterBreak="0">
    <w:nsid w:val="71A46284"/>
    <w:multiLevelType w:val="multilevel"/>
    <w:tmpl w:val="64E65BCE"/>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74BC1FFD"/>
    <w:multiLevelType w:val="multilevel"/>
    <w:tmpl w:val="B61495E4"/>
    <w:lvl w:ilvl="0">
      <w:start w:val="5"/>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3225" w:hanging="1440"/>
      </w:pPr>
    </w:lvl>
    <w:lvl w:ilvl="6">
      <w:start w:val="1"/>
      <w:numFmt w:val="decimal"/>
      <w:lvlText w:val="%1.%2.%3.%4.%5.%6.%7"/>
      <w:lvlJc w:val="left"/>
      <w:pPr>
        <w:ind w:left="3582" w:hanging="1440"/>
      </w:pPr>
    </w:lvl>
    <w:lvl w:ilvl="7">
      <w:start w:val="1"/>
      <w:numFmt w:val="decimal"/>
      <w:lvlText w:val="%1.%2.%3.%4.%5.%6.%7.%8"/>
      <w:lvlJc w:val="left"/>
      <w:pPr>
        <w:ind w:left="4299" w:hanging="1800"/>
      </w:pPr>
    </w:lvl>
    <w:lvl w:ilvl="8">
      <w:start w:val="1"/>
      <w:numFmt w:val="decimal"/>
      <w:lvlText w:val="%1.%2.%3.%4.%5.%6.%7.%8.%9"/>
      <w:lvlJc w:val="left"/>
      <w:pPr>
        <w:ind w:left="4656" w:hanging="1800"/>
      </w:pPr>
    </w:lvl>
  </w:abstractNum>
  <w:abstractNum w:abstractNumId="58" w15:restartNumberingAfterBreak="0">
    <w:nsid w:val="760D127A"/>
    <w:multiLevelType w:val="multilevel"/>
    <w:tmpl w:val="FD0EA5DC"/>
    <w:styleLink w:val="WWNum2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9" w15:restartNumberingAfterBreak="0">
    <w:nsid w:val="7AA01E65"/>
    <w:multiLevelType w:val="multilevel"/>
    <w:tmpl w:val="9D16D928"/>
    <w:styleLink w:val="WWNum14"/>
    <w:lvl w:ilvl="0">
      <w:start w:val="1"/>
      <w:numFmt w:val="decimal"/>
      <w:lvlText w:val="%1."/>
      <w:lvlJc w:val="left"/>
    </w:lvl>
    <w:lvl w:ilvl="1">
      <w:start w:val="1"/>
      <w:numFmt w:val="decimal"/>
      <w:lvlText w:val="%1.%2."/>
      <w:lvlJc w:val="left"/>
    </w:lvl>
    <w:lvl w:ilvl="2">
      <w:start w:val="1"/>
      <w:numFmt w:val="decimal"/>
      <w:lvlText w:val="%1.%2.%3."/>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0" w15:restartNumberingAfterBreak="0">
    <w:nsid w:val="7F59418A"/>
    <w:multiLevelType w:val="multilevel"/>
    <w:tmpl w:val="173A6C40"/>
    <w:styleLink w:val="WWOutlineListStyle5"/>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9"/>
  </w:num>
  <w:num w:numId="2">
    <w:abstractNumId w:val="31"/>
  </w:num>
  <w:num w:numId="3">
    <w:abstractNumId w:val="60"/>
  </w:num>
  <w:num w:numId="4">
    <w:abstractNumId w:val="25"/>
  </w:num>
  <w:num w:numId="5">
    <w:abstractNumId w:val="36"/>
  </w:num>
  <w:num w:numId="6">
    <w:abstractNumId w:val="5"/>
  </w:num>
  <w:num w:numId="7">
    <w:abstractNumId w:val="19"/>
  </w:num>
  <w:num w:numId="8">
    <w:abstractNumId w:val="4"/>
  </w:num>
  <w:num w:numId="9">
    <w:abstractNumId w:val="52"/>
  </w:num>
  <w:num w:numId="10">
    <w:abstractNumId w:val="46"/>
  </w:num>
  <w:num w:numId="11">
    <w:abstractNumId w:val="37"/>
  </w:num>
  <w:num w:numId="12">
    <w:abstractNumId w:val="15"/>
  </w:num>
  <w:num w:numId="13">
    <w:abstractNumId w:val="48"/>
  </w:num>
  <w:num w:numId="14">
    <w:abstractNumId w:val="22"/>
  </w:num>
  <w:num w:numId="15">
    <w:abstractNumId w:val="6"/>
  </w:num>
  <w:num w:numId="16">
    <w:abstractNumId w:val="51"/>
  </w:num>
  <w:num w:numId="17">
    <w:abstractNumId w:val="26"/>
  </w:num>
  <w:num w:numId="18">
    <w:abstractNumId w:val="30"/>
  </w:num>
  <w:num w:numId="19">
    <w:abstractNumId w:val="56"/>
  </w:num>
  <w:num w:numId="20">
    <w:abstractNumId w:val="34"/>
  </w:num>
  <w:num w:numId="21">
    <w:abstractNumId w:val="49"/>
  </w:num>
  <w:num w:numId="22">
    <w:abstractNumId w:val="59"/>
  </w:num>
  <w:num w:numId="23">
    <w:abstractNumId w:val="35"/>
  </w:num>
  <w:num w:numId="24">
    <w:abstractNumId w:val="32"/>
  </w:num>
  <w:num w:numId="25">
    <w:abstractNumId w:val="47"/>
  </w:num>
  <w:num w:numId="26">
    <w:abstractNumId w:val="11"/>
  </w:num>
  <w:num w:numId="27">
    <w:abstractNumId w:val="40"/>
  </w:num>
  <w:num w:numId="28">
    <w:abstractNumId w:val="0"/>
  </w:num>
  <w:num w:numId="29">
    <w:abstractNumId w:val="44"/>
  </w:num>
  <w:num w:numId="30">
    <w:abstractNumId w:val="12"/>
  </w:num>
  <w:num w:numId="31">
    <w:abstractNumId w:val="20"/>
  </w:num>
  <w:num w:numId="32">
    <w:abstractNumId w:val="50"/>
  </w:num>
  <w:num w:numId="33">
    <w:abstractNumId w:val="45"/>
  </w:num>
  <w:num w:numId="34">
    <w:abstractNumId w:val="58"/>
  </w:num>
  <w:num w:numId="35">
    <w:abstractNumId w:val="24"/>
  </w:num>
  <w:num w:numId="36">
    <w:abstractNumId w:val="41"/>
  </w:num>
  <w:num w:numId="37">
    <w:abstractNumId w:val="16"/>
  </w:num>
  <w:num w:numId="38">
    <w:abstractNumId w:val="21"/>
  </w:num>
  <w:num w:numId="39">
    <w:abstractNumId w:val="17"/>
  </w:num>
  <w:num w:numId="40">
    <w:abstractNumId w:val="23"/>
  </w:num>
  <w:num w:numId="41">
    <w:abstractNumId w:val="18"/>
  </w:num>
  <w:num w:numId="42">
    <w:abstractNumId w:val="3"/>
  </w:num>
  <w:num w:numId="43">
    <w:abstractNumId w:val="14"/>
  </w:num>
  <w:num w:numId="44">
    <w:abstractNumId w:val="7"/>
  </w:num>
  <w:num w:numId="45">
    <w:abstractNumId w:val="10"/>
  </w:num>
  <w:num w:numId="46">
    <w:abstractNumId w:val="38"/>
  </w:num>
  <w:num w:numId="47">
    <w:abstractNumId w:val="33"/>
  </w:num>
  <w:num w:numId="48">
    <w:abstractNumId w:val="29"/>
  </w:num>
  <w:num w:numId="49">
    <w:abstractNumId w:val="39"/>
  </w:num>
  <w:num w:numId="50">
    <w:abstractNumId w:val="53"/>
  </w:num>
  <w:num w:numId="51">
    <w:abstractNumId w:val="8"/>
  </w:num>
  <w:num w:numId="52">
    <w:abstractNumId w:val="42"/>
  </w:num>
  <w:num w:numId="53">
    <w:abstractNumId w:val="28"/>
  </w:num>
  <w:num w:numId="54">
    <w:abstractNumId w:val="43"/>
  </w:num>
  <w:num w:numId="55">
    <w:abstractNumId w:val="13"/>
  </w:num>
  <w:num w:numId="56">
    <w:abstractNumId w:val="27"/>
  </w:num>
  <w:num w:numId="57">
    <w:abstractNumId w:val="54"/>
  </w:num>
  <w:num w:numId="58">
    <w:abstractNumId w:val="55"/>
  </w:num>
  <w:num w:numId="59">
    <w:abstractNumId w:val="1"/>
  </w:num>
  <w:num w:numId="60">
    <w:abstractNumId w:val="57"/>
  </w:num>
  <w:num w:numId="61">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8"/>
    <w:rsid w:val="00060E28"/>
    <w:rsid w:val="000A499E"/>
    <w:rsid w:val="000C4BB7"/>
    <w:rsid w:val="001D0A4D"/>
    <w:rsid w:val="004163ED"/>
    <w:rsid w:val="005F1709"/>
    <w:rsid w:val="00620DCC"/>
    <w:rsid w:val="00635ED3"/>
    <w:rsid w:val="006E24C0"/>
    <w:rsid w:val="006F00CB"/>
    <w:rsid w:val="00841ED9"/>
    <w:rsid w:val="00864E7A"/>
    <w:rsid w:val="008A6C26"/>
    <w:rsid w:val="00982856"/>
    <w:rsid w:val="00AE66FF"/>
    <w:rsid w:val="00C2695A"/>
    <w:rsid w:val="00C47017"/>
    <w:rsid w:val="00CB4F6B"/>
    <w:rsid w:val="00F70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2AF6"/>
  <w15:docId w15:val="{BE2329AE-2984-499C-B913-FB959758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kern w:val="3"/>
        <w:sz w:val="22"/>
        <w:szCs w:val="22"/>
        <w:lang w:val="en-US" w:eastAsia="fr-F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color w:val="484D7A"/>
      <w:sz w:val="20"/>
    </w:rPr>
  </w:style>
  <w:style w:type="paragraph" w:styleId="Titre1">
    <w:name w:val="heading 1"/>
    <w:basedOn w:val="Normal"/>
    <w:pPr>
      <w:outlineLvl w:val="0"/>
    </w:pPr>
    <w:rPr>
      <w:rFonts w:ascii="Calibri Light" w:eastAsia="Calibri Light" w:hAnsi="Calibri Light" w:cs="Calibri Light"/>
      <w:color w:val="2F5496"/>
      <w:sz w:val="32"/>
    </w:rPr>
  </w:style>
  <w:style w:type="paragraph" w:styleId="Titre2">
    <w:name w:val="heading 2"/>
    <w:basedOn w:val="Normal"/>
    <w:pPr>
      <w:numPr>
        <w:ilvl w:val="1"/>
        <w:numId w:val="1"/>
      </w:numPr>
      <w:outlineLvl w:val="1"/>
    </w:pPr>
    <w:rPr>
      <w:rFonts w:ascii="Calibri Light" w:eastAsia="Calibri Light" w:hAnsi="Calibri Light" w:cs="Calibri Light"/>
      <w:color w:val="2F5496"/>
      <w:sz w:val="26"/>
    </w:rPr>
  </w:style>
  <w:style w:type="paragraph" w:styleId="Titre3">
    <w:name w:val="heading 3"/>
    <w:basedOn w:val="Normal"/>
    <w:pPr>
      <w:outlineLvl w:val="2"/>
    </w:pPr>
    <w:rPr>
      <w:rFonts w:ascii="Calibri Light" w:eastAsia="Calibri Light" w:hAnsi="Calibri Light" w:cs="Calibri Light"/>
      <w:color w:val="1F3763"/>
    </w:rPr>
  </w:style>
  <w:style w:type="paragraph" w:styleId="Titre4">
    <w:name w:val="heading 4"/>
    <w:basedOn w:val="Normal"/>
    <w:pPr>
      <w:outlineLvl w:val="3"/>
    </w:pPr>
    <w:rPr>
      <w:rFonts w:ascii="Calibri Light" w:eastAsia="Calibri Light" w:hAnsi="Calibri Light" w:cs="Calibri Light"/>
      <w:i/>
      <w:color w:val="2F5496"/>
    </w:rPr>
  </w:style>
  <w:style w:type="paragraph" w:styleId="Titre5">
    <w:name w:val="heading 5"/>
    <w:basedOn w:val="Heading"/>
    <w:pPr>
      <w:outlineLvl w:val="4"/>
    </w:pPr>
    <w:rPr>
      <w:b/>
    </w:rPr>
  </w:style>
  <w:style w:type="paragraph" w:styleId="Titre6">
    <w:name w:val="heading 6"/>
    <w:basedOn w:val="Heading"/>
    <w:pPr>
      <w:outlineLvl w:val="5"/>
    </w:pPr>
    <w:rPr>
      <w:b/>
      <w:i/>
    </w:rPr>
  </w:style>
  <w:style w:type="paragraph" w:styleId="Titre7">
    <w:name w:val="heading 7"/>
    <w:basedOn w:val="Heading"/>
    <w:pPr>
      <w:outlineLvl w:val="6"/>
    </w:pPr>
    <w:rPr>
      <w:b/>
    </w:rPr>
  </w:style>
  <w:style w:type="paragraph" w:styleId="Titre8">
    <w:name w:val="heading 8"/>
    <w:basedOn w:val="Heading"/>
    <w:pPr>
      <w:outlineLvl w:val="7"/>
    </w:pPr>
    <w:rPr>
      <w:b/>
      <w:i/>
    </w:rPr>
  </w:style>
  <w:style w:type="paragraph" w:styleId="Titre9">
    <w:name w:val="heading 9"/>
    <w:basedOn w:val="Heading"/>
    <w:pPr>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7">
    <w:name w:val="WW_OutlineListStyle_7"/>
    <w:basedOn w:val="Aucuneliste"/>
    <w:pPr>
      <w:numPr>
        <w:numId w:val="1"/>
      </w:numPr>
    </w:pPr>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paragraph" w:styleId="Paragraphedeliste">
    <w:name w:val="List Paragraph"/>
    <w:basedOn w:val="Normal"/>
  </w:style>
  <w:style w:type="paragraph" w:styleId="Sansinterligne">
    <w:name w:val="No Spacing"/>
    <w:basedOn w:val="DStyleparagraph"/>
    <w:rPr>
      <w:rFonts w:ascii="Arial" w:eastAsia="Arial" w:hAnsi="Arial" w:cs="Arial"/>
      <w:color w:val="484D7A"/>
      <w:sz w:val="20"/>
    </w:rPr>
  </w:style>
  <w:style w:type="paragraph" w:styleId="Titre">
    <w:name w:val="Title"/>
    <w:basedOn w:val="Normal"/>
    <w:rPr>
      <w:sz w:val="48"/>
    </w:rPr>
  </w:style>
  <w:style w:type="character" w:customStyle="1" w:styleId="TitleChar">
    <w:name w:val="Title Char"/>
    <w:rPr>
      <w:sz w:val="48"/>
    </w:rPr>
  </w:style>
  <w:style w:type="paragraph" w:styleId="Sous-titre">
    <w:name w:val="Subtitle"/>
    <w:basedOn w:val="Normal"/>
    <w:rPr>
      <w:sz w:val="24"/>
    </w:rPr>
  </w:style>
  <w:style w:type="character" w:customStyle="1" w:styleId="SubtitleChar">
    <w:name w:val="Subtitle Char"/>
    <w:rPr>
      <w:sz w:val="24"/>
    </w:rPr>
  </w:style>
  <w:style w:type="paragraph" w:styleId="Citation">
    <w:name w:val="Quote"/>
    <w:basedOn w:val="Normal"/>
    <w:rPr>
      <w:i/>
    </w:rPr>
  </w:style>
  <w:style w:type="character" w:customStyle="1" w:styleId="QuoteChar">
    <w:name w:val="Quote Char"/>
    <w:rPr>
      <w:i/>
    </w:rPr>
  </w:style>
  <w:style w:type="paragraph" w:styleId="Citationintense">
    <w:name w:val="Intense Quote"/>
    <w:basedOn w:val="Normal"/>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Lienhypertexte">
    <w:name w:val="Hyperlink"/>
    <w:basedOn w:val="Policepardfaut"/>
    <w:rPr>
      <w:color w:val="0563C1"/>
      <w:u w:val="single"/>
    </w:rPr>
  </w:style>
  <w:style w:type="character" w:customStyle="1" w:styleId="Internetlink">
    <w:name w:val="Internet link"/>
    <w:rPr>
      <w:color w:val="0000FF"/>
      <w:u w:val="single"/>
    </w:rPr>
  </w:style>
  <w:style w:type="paragraph" w:styleId="Notedebasdepage">
    <w:name w:val="footnote text"/>
    <w:basedOn w:val="Normal"/>
    <w:rPr>
      <w:sz w:val="18"/>
    </w:rPr>
  </w:style>
  <w:style w:type="character" w:customStyle="1" w:styleId="FootnoteTextChar">
    <w:name w:val="Footnote Text Char"/>
    <w:rPr>
      <w:sz w:val="18"/>
    </w:rPr>
  </w:style>
  <w:style w:type="character" w:styleId="Appelnotedebasdep">
    <w:name w:val="footnote reference"/>
    <w:rPr>
      <w:position w:val="0"/>
      <w:vertAlign w:val="baseline"/>
    </w:rPr>
  </w:style>
  <w:style w:type="paragraph" w:styleId="Notedefin">
    <w:name w:val="endnote text"/>
    <w:basedOn w:val="Normal"/>
  </w:style>
  <w:style w:type="character" w:customStyle="1" w:styleId="EndnoteTextChar">
    <w:name w:val="Endnote Text Char"/>
    <w:rPr>
      <w:sz w:val="20"/>
    </w:rPr>
  </w:style>
  <w:style w:type="character" w:styleId="Appeldenotedefin">
    <w:name w:val="endnote reference"/>
    <w:rPr>
      <w:position w:val="0"/>
      <w:vertAlign w:val="baseline"/>
    </w:rPr>
  </w:style>
  <w:style w:type="paragraph" w:styleId="TM1">
    <w:name w:val="toc 1"/>
    <w:basedOn w:val="Normal"/>
    <w:uiPriority w:val="39"/>
    <w:rPr>
      <w:rFonts w:ascii="Calibri" w:eastAsia="Calibri" w:hAnsi="Calibri" w:cs="Calibri"/>
      <w:b/>
      <w:i/>
    </w:rPr>
  </w:style>
  <w:style w:type="paragraph" w:styleId="TM2">
    <w:name w:val="toc 2"/>
    <w:basedOn w:val="Normal"/>
    <w:uiPriority w:val="39"/>
    <w:rPr>
      <w:rFonts w:ascii="Calibri" w:eastAsia="Calibri" w:hAnsi="Calibri" w:cs="Calibri"/>
      <w:b/>
      <w:sz w:val="22"/>
    </w:rPr>
  </w:style>
  <w:style w:type="paragraph" w:styleId="TM3">
    <w:name w:val="toc 3"/>
    <w:basedOn w:val="Normal"/>
    <w:uiPriority w:val="39"/>
    <w:rPr>
      <w:rFonts w:ascii="Calibri" w:eastAsia="Calibri" w:hAnsi="Calibri" w:cs="Calibri"/>
    </w:rPr>
  </w:style>
  <w:style w:type="paragraph" w:styleId="TM4">
    <w:name w:val="toc 4"/>
    <w:basedOn w:val="Normal"/>
    <w:rPr>
      <w:rFonts w:ascii="Calibri" w:eastAsia="Calibri" w:hAnsi="Calibri" w:cs="Calibri"/>
    </w:rPr>
  </w:style>
  <w:style w:type="paragraph" w:styleId="TM5">
    <w:name w:val="toc 5"/>
    <w:basedOn w:val="Normal"/>
    <w:pPr>
      <w:spacing w:after="57"/>
      <w:ind w:left="1134"/>
    </w:pPr>
  </w:style>
  <w:style w:type="paragraph" w:styleId="TM6">
    <w:name w:val="toc 6"/>
    <w:basedOn w:val="Normal"/>
    <w:pPr>
      <w:spacing w:after="57"/>
      <w:ind w:left="1417"/>
    </w:pPr>
  </w:style>
  <w:style w:type="paragraph" w:styleId="TM7">
    <w:name w:val="toc 7"/>
    <w:basedOn w:val="Normal"/>
    <w:pPr>
      <w:spacing w:after="57"/>
      <w:ind w:left="1701"/>
    </w:pPr>
  </w:style>
  <w:style w:type="paragraph" w:styleId="TM8">
    <w:name w:val="toc 8"/>
    <w:basedOn w:val="Normal"/>
    <w:pPr>
      <w:spacing w:after="57"/>
      <w:ind w:left="1984"/>
    </w:pPr>
  </w:style>
  <w:style w:type="paragraph" w:styleId="TM9">
    <w:name w:val="toc 9"/>
    <w:basedOn w:val="Normal"/>
    <w:pPr>
      <w:spacing w:after="57"/>
      <w:ind w:left="2268"/>
    </w:pPr>
  </w:style>
  <w:style w:type="paragraph" w:styleId="En-ttedetabledesmatires">
    <w:name w:val="TOC Heading"/>
    <w:pPr>
      <w:suppressAutoHyphens/>
    </w:pPr>
  </w:style>
  <w:style w:type="paragraph" w:styleId="Tabledesillustrations">
    <w:name w:val="table of figures"/>
    <w:basedOn w:val="Normal"/>
  </w:style>
  <w:style w:type="paragraph" w:customStyle="1" w:styleId="DStyleparagraph">
    <w:name w:val="DStyle_paragraph"/>
    <w:pPr>
      <w:suppressAutoHyphens/>
    </w:pPr>
    <w:rPr>
      <w:rFonts w:ascii="Liberation Serif" w:eastAsia="Liberation Serif" w:hAnsi="Liberation Serif" w:cs="Liberation Serif"/>
      <w:color w:val="000000"/>
      <w:sz w:val="24"/>
      <w:lang w:val="da-DK"/>
    </w:rPr>
  </w:style>
  <w:style w:type="paragraph" w:customStyle="1" w:styleId="Standard">
    <w:name w:val="Standard"/>
    <w:basedOn w:val="DStyleparagraph"/>
  </w:style>
  <w:style w:type="paragraph" w:customStyle="1" w:styleId="Heading">
    <w:name w:val="Heading"/>
    <w:basedOn w:val="Standard"/>
    <w:rPr>
      <w:rFonts w:ascii="Liberation Sans" w:eastAsia="Liberation Sans" w:hAnsi="Liberation Sans" w:cs="Liberation Sans"/>
      <w:sz w:val="28"/>
    </w:rPr>
  </w:style>
  <w:style w:type="paragraph" w:customStyle="1" w:styleId="Textbody">
    <w:name w:val="Text body"/>
    <w:basedOn w:val="Standard"/>
  </w:style>
  <w:style w:type="paragraph" w:styleId="Liste">
    <w:name w:val="List"/>
    <w:basedOn w:val="Textbody"/>
  </w:style>
  <w:style w:type="paragraph" w:styleId="Lgende">
    <w:name w:val="caption"/>
    <w:basedOn w:val="Standard"/>
    <w:rPr>
      <w:i/>
    </w:rPr>
  </w:style>
  <w:style w:type="paragraph" w:customStyle="1" w:styleId="Index">
    <w:name w:val="Index"/>
    <w:basedOn w:val="Standard"/>
  </w:style>
  <w:style w:type="paragraph" w:styleId="En-tte">
    <w:name w:val="header"/>
    <w:basedOn w:val="HeaderandFooter"/>
  </w:style>
  <w:style w:type="paragraph" w:styleId="Pieddepage">
    <w:name w:val="footer"/>
    <w:basedOn w:val="HeaderandFooter"/>
  </w:style>
  <w:style w:type="paragraph" w:styleId="NormalWeb">
    <w:name w:val="Normal (Web)"/>
    <w:basedOn w:val="Normal"/>
    <w:pPr>
      <w:spacing w:before="100" w:after="100"/>
    </w:pPr>
  </w:style>
  <w:style w:type="paragraph" w:customStyle="1" w:styleId="HeaderandFooter">
    <w:name w:val="Header and Footer"/>
    <w:basedOn w:val="Standard"/>
    <w:pPr>
      <w:tabs>
        <w:tab w:val="center" w:pos="5385"/>
        <w:tab w:val="right" w:pos="10772"/>
      </w:tabs>
    </w:pPr>
  </w:style>
  <w:style w:type="paragraph" w:customStyle="1" w:styleId="Framecontents">
    <w:name w:val="Frame contents"/>
    <w:basedOn w:val="Standard"/>
  </w:style>
  <w:style w:type="paragraph" w:customStyle="1" w:styleId="TableContents">
    <w:name w:val="Table Contents"/>
    <w:basedOn w:val="Standard"/>
  </w:style>
  <w:style w:type="paragraph" w:customStyle="1" w:styleId="ContentsHeading">
    <w:name w:val="Contents Heading"/>
    <w:basedOn w:val="Heading"/>
    <w:rPr>
      <w:b/>
      <w:sz w:val="32"/>
    </w:rPr>
  </w:style>
  <w:style w:type="paragraph" w:customStyle="1" w:styleId="Illustration">
    <w:name w:val="Illustration"/>
    <w:basedOn w:val="Lgende"/>
  </w:style>
  <w:style w:type="paragraph" w:customStyle="1" w:styleId="TableHeading">
    <w:name w:val="Table Heading"/>
    <w:basedOn w:val="TableContents"/>
    <w:rPr>
      <w:b/>
    </w:rPr>
  </w:style>
  <w:style w:type="paragraph" w:customStyle="1" w:styleId="DocumentMap">
    <w:name w:val="DocumentMap"/>
    <w:basedOn w:val="DStyleparagraph"/>
    <w:rPr>
      <w:rFonts w:ascii="Calibri" w:eastAsia="Calibri" w:hAnsi="Calibri" w:cs="Calibri"/>
      <w:lang w:val="fr-FR"/>
    </w:rPr>
  </w:style>
  <w:style w:type="paragraph" w:customStyle="1" w:styleId="Contents1">
    <w:name w:val="Contents 1"/>
    <w:basedOn w:val="Index"/>
    <w:pPr>
      <w:tabs>
        <w:tab w:val="right" w:leader="dot" w:pos="9638"/>
      </w:tabs>
    </w:pPr>
  </w:style>
  <w:style w:type="paragraph" w:customStyle="1" w:styleId="Default">
    <w:name w:val="Default"/>
    <w:basedOn w:val="DStyleparagraph"/>
    <w:rPr>
      <w:rFonts w:ascii="Times New Roman" w:eastAsia="Times New Roman" w:hAnsi="Times New Roman" w:cs="Times New Roman"/>
    </w:rPr>
  </w:style>
  <w:style w:type="paragraph" w:customStyle="1" w:styleId="Contents2">
    <w:name w:val="Contents 2"/>
    <w:basedOn w:val="Index"/>
    <w:pPr>
      <w:tabs>
        <w:tab w:val="right" w:leader="dot" w:pos="9921"/>
      </w:tabs>
      <w:ind w:left="283"/>
    </w:pPr>
  </w:style>
  <w:style w:type="paragraph" w:customStyle="1" w:styleId="FigureIndexHeading">
    <w:name w:val="Figure Index Heading"/>
    <w:basedOn w:val="Heading"/>
    <w:rPr>
      <w:b/>
      <w:sz w:val="32"/>
    </w:rPr>
  </w:style>
  <w:style w:type="paragraph" w:customStyle="1" w:styleId="FigureIndex1">
    <w:name w:val="Figure Index 1"/>
    <w:basedOn w:val="Index"/>
    <w:pPr>
      <w:tabs>
        <w:tab w:val="right" w:leader="dot" w:pos="9638"/>
      </w:tabs>
    </w:pPr>
  </w:style>
  <w:style w:type="paragraph" w:customStyle="1" w:styleId="Contents3">
    <w:name w:val="Contents 3"/>
    <w:basedOn w:val="Index"/>
    <w:pPr>
      <w:tabs>
        <w:tab w:val="right" w:leader="dot" w:pos="10204"/>
      </w:tabs>
      <w:ind w:left="566"/>
    </w:pPr>
  </w:style>
  <w:style w:type="paragraph" w:styleId="Textedebulles">
    <w:name w:val="Balloon Text"/>
    <w:basedOn w:val="Normal"/>
    <w:rPr>
      <w:rFonts w:ascii="Segoe UI" w:eastAsia="Segoe UI" w:hAnsi="Segoe UI" w:cs="Segoe UI"/>
      <w:sz w:val="18"/>
    </w:rPr>
  </w:style>
  <w:style w:type="paragraph" w:styleId="Commentaire">
    <w:name w:val="annotation text"/>
    <w:basedOn w:val="Normal"/>
    <w:rPr>
      <w:sz w:val="18"/>
    </w:rPr>
  </w:style>
  <w:style w:type="paragraph" w:styleId="Objetducommentaire">
    <w:name w:val="annotation subject"/>
    <w:basedOn w:val="Commentaire"/>
    <w:rPr>
      <w:b/>
    </w:rPr>
  </w:style>
  <w:style w:type="paragraph" w:styleId="Rvision">
    <w:name w:val="Revision"/>
    <w:basedOn w:val="DStyleparagraph"/>
    <w:rPr>
      <w:rFonts w:ascii="Arial" w:eastAsia="Arial" w:hAnsi="Arial" w:cs="Arial"/>
      <w:color w:val="484D7A"/>
      <w:sz w:val="20"/>
    </w:rPr>
  </w:style>
  <w:style w:type="character" w:styleId="Numrodepage">
    <w:name w:val="page number"/>
    <w:basedOn w:val="Policepardfaut"/>
  </w:style>
  <w:style w:type="character" w:styleId="Marquedecommentaire">
    <w:name w:val="annotation reference"/>
    <w:basedOn w:val="Policepardfaut"/>
    <w:rPr>
      <w:sz w:val="16"/>
    </w:rPr>
  </w:style>
  <w:style w:type="character" w:customStyle="1" w:styleId="Internetlink0">
    <w:name w:val="Internet link"/>
    <w:rPr>
      <w:color w:val="000080"/>
      <w:u w:val="single"/>
    </w:rPr>
  </w:style>
  <w:style w:type="character" w:customStyle="1" w:styleId="TextedebullesCar">
    <w:name w:val="Texte de bulles Car"/>
    <w:basedOn w:val="Policepardfaut"/>
    <w:rPr>
      <w:rFonts w:ascii="Segoe UI" w:eastAsia="Segoe UI" w:hAnsi="Segoe UI" w:cs="Segoe UI"/>
      <w:color w:val="484D7A"/>
      <w:sz w:val="18"/>
    </w:rPr>
  </w:style>
  <w:style w:type="character" w:customStyle="1" w:styleId="BulletSymbols">
    <w:name w:val="Bullet Symbols"/>
    <w:rPr>
      <w:rFonts w:ascii="OpenSymbol" w:eastAsia="OpenSymbol" w:hAnsi="OpenSymbol" w:cs="OpenSymbol"/>
      <w:color w:val="484D7A"/>
    </w:rPr>
  </w:style>
  <w:style w:type="character" w:customStyle="1" w:styleId="PieddepageCar">
    <w:name w:val="Pied de page Car"/>
    <w:basedOn w:val="Policepardfaut"/>
    <w:rPr>
      <w:rFonts w:ascii="Times New Roman" w:eastAsia="Times New Roman" w:hAnsi="Times New Roman" w:cs="Times New Roman"/>
      <w:lang w:val="fr-FR"/>
    </w:rPr>
  </w:style>
  <w:style w:type="character" w:customStyle="1" w:styleId="IndexLink">
    <w:name w:val="Index Link"/>
  </w:style>
  <w:style w:type="character" w:customStyle="1" w:styleId="NumberingSymbols">
    <w:name w:val="Numbering Symbols"/>
  </w:style>
  <w:style w:type="character" w:customStyle="1" w:styleId="CommentaireCar">
    <w:name w:val="Commentaire Car"/>
    <w:basedOn w:val="Policepardfaut"/>
    <w:rPr>
      <w:rFonts w:ascii="Arial" w:eastAsia="Arial" w:hAnsi="Arial" w:cs="Arial"/>
      <w:color w:val="484D7A"/>
      <w:sz w:val="20"/>
    </w:rPr>
  </w:style>
  <w:style w:type="character" w:customStyle="1" w:styleId="CommentaireCar1">
    <w:name w:val="Commentaire Car1"/>
    <w:basedOn w:val="Policepardfaut"/>
    <w:rPr>
      <w:rFonts w:ascii="Arial" w:eastAsia="Arial" w:hAnsi="Arial" w:cs="Arial"/>
      <w:color w:val="484D7A"/>
      <w:sz w:val="20"/>
    </w:rPr>
  </w:style>
  <w:style w:type="character" w:customStyle="1" w:styleId="ObjetducommentaireCar">
    <w:name w:val="Objet du commentaire Car"/>
    <w:basedOn w:val="CommentaireCar1"/>
    <w:rPr>
      <w:rFonts w:ascii="Arial" w:eastAsia="Arial" w:hAnsi="Arial" w:cs="Arial"/>
      <w:b/>
      <w:color w:val="484D7A"/>
      <w:sz w:val="20"/>
    </w:rPr>
  </w:style>
  <w:style w:type="character" w:styleId="Emphaseple">
    <w:name w:val="Subtle Emphasis"/>
    <w:basedOn w:val="Policepardfaut"/>
    <w:rPr>
      <w:i/>
      <w:color w:val="404040"/>
    </w:rPr>
  </w:style>
  <w:style w:type="character" w:customStyle="1" w:styleId="T1">
    <w:name w:val="T1"/>
    <w:rPr>
      <w:rFonts w:ascii="OpenSymbol" w:eastAsia="OpenSymbol" w:hAnsi="OpenSymbol" w:cs="OpenSymbol"/>
    </w:rPr>
  </w:style>
  <w:style w:type="character" w:customStyle="1" w:styleId="T2">
    <w:name w:val="T2"/>
    <w:rPr>
      <w:rFonts w:ascii="OpenSymbol" w:eastAsia="OpenSymbol" w:hAnsi="OpenSymbol" w:cs="OpenSymbol"/>
    </w:rPr>
  </w:style>
  <w:style w:type="character" w:customStyle="1" w:styleId="T3">
    <w:name w:val="T3"/>
    <w:rPr>
      <w:rFonts w:ascii="OpenSymbol" w:eastAsia="OpenSymbol" w:hAnsi="OpenSymbol" w:cs="OpenSymbol"/>
    </w:rPr>
  </w:style>
  <w:style w:type="character" w:customStyle="1" w:styleId="T4">
    <w:name w:val="T4"/>
    <w:rPr>
      <w:rFonts w:ascii="OpenSymbol" w:eastAsia="OpenSymbol" w:hAnsi="OpenSymbol" w:cs="OpenSymbol"/>
    </w:rPr>
  </w:style>
  <w:style w:type="character" w:customStyle="1" w:styleId="T5">
    <w:name w:val="T5"/>
    <w:rPr>
      <w:rFonts w:ascii="OpenSymbol" w:eastAsia="OpenSymbol" w:hAnsi="OpenSymbol" w:cs="OpenSymbol"/>
    </w:rPr>
  </w:style>
  <w:style w:type="character" w:customStyle="1" w:styleId="T6">
    <w:name w:val="T6"/>
    <w:rPr>
      <w:rFonts w:ascii="OpenSymbol" w:eastAsia="OpenSymbol" w:hAnsi="OpenSymbol" w:cs="OpenSymbol"/>
    </w:rPr>
  </w:style>
  <w:style w:type="character" w:customStyle="1" w:styleId="T7">
    <w:name w:val="T7"/>
    <w:rPr>
      <w:rFonts w:ascii="OpenSymbol" w:eastAsia="OpenSymbol" w:hAnsi="OpenSymbol" w:cs="OpenSymbol"/>
    </w:rPr>
  </w:style>
  <w:style w:type="character" w:customStyle="1" w:styleId="T8">
    <w:name w:val="T8"/>
    <w:rPr>
      <w:rFonts w:ascii="OpenSymbol" w:eastAsia="OpenSymbol" w:hAnsi="OpenSymbol" w:cs="OpenSymbol"/>
    </w:rPr>
  </w:style>
  <w:style w:type="character" w:customStyle="1" w:styleId="T9">
    <w:name w:val="T9"/>
    <w:rPr>
      <w:rFonts w:ascii="OpenSymbol" w:eastAsia="OpenSymbol" w:hAnsi="OpenSymbol" w:cs="OpenSymbol"/>
    </w:rPr>
  </w:style>
  <w:style w:type="character" w:customStyle="1" w:styleId="T10">
    <w:name w:val="T10"/>
    <w:rPr>
      <w:rFonts w:ascii="OpenSymbol" w:eastAsia="OpenSymbol" w:hAnsi="OpenSymbol" w:cs="OpenSymbol"/>
    </w:rPr>
  </w:style>
  <w:style w:type="character" w:customStyle="1" w:styleId="T11">
    <w:name w:val="T11"/>
    <w:rPr>
      <w:rFonts w:ascii="OpenSymbol" w:eastAsia="OpenSymbol" w:hAnsi="OpenSymbol" w:cs="OpenSymbol"/>
    </w:rPr>
  </w:style>
  <w:style w:type="character" w:customStyle="1" w:styleId="T12">
    <w:name w:val="T12"/>
    <w:rPr>
      <w:rFonts w:ascii="OpenSymbol" w:eastAsia="OpenSymbol" w:hAnsi="OpenSymbol" w:cs="OpenSymbol"/>
    </w:rPr>
  </w:style>
  <w:style w:type="character" w:customStyle="1" w:styleId="T13">
    <w:name w:val="T13"/>
    <w:rPr>
      <w:rFonts w:ascii="OpenSymbol" w:eastAsia="OpenSymbol" w:hAnsi="OpenSymbol" w:cs="OpenSymbol"/>
    </w:rPr>
  </w:style>
  <w:style w:type="character" w:customStyle="1" w:styleId="T14">
    <w:name w:val="T14"/>
    <w:rPr>
      <w:rFonts w:ascii="OpenSymbol" w:eastAsia="OpenSymbol" w:hAnsi="OpenSymbol" w:cs="OpenSymbol"/>
    </w:rPr>
  </w:style>
  <w:style w:type="character" w:customStyle="1" w:styleId="T15">
    <w:name w:val="T15"/>
    <w:rPr>
      <w:rFonts w:ascii="OpenSymbol" w:eastAsia="OpenSymbol" w:hAnsi="OpenSymbol" w:cs="OpenSymbol"/>
    </w:rPr>
  </w:style>
  <w:style w:type="character" w:customStyle="1" w:styleId="T16">
    <w:name w:val="T16"/>
    <w:rPr>
      <w:rFonts w:ascii="OpenSymbol" w:eastAsia="OpenSymbol" w:hAnsi="OpenSymbol" w:cs="OpenSymbol"/>
    </w:rPr>
  </w:style>
  <w:style w:type="character" w:customStyle="1" w:styleId="T17">
    <w:name w:val="T17"/>
    <w:rPr>
      <w:rFonts w:ascii="OpenSymbol" w:eastAsia="OpenSymbol" w:hAnsi="OpenSymbol" w:cs="OpenSymbol"/>
    </w:rPr>
  </w:style>
  <w:style w:type="character" w:customStyle="1" w:styleId="T18">
    <w:name w:val="T18"/>
    <w:rPr>
      <w:rFonts w:ascii="OpenSymbol" w:eastAsia="OpenSymbol" w:hAnsi="OpenSymbol" w:cs="OpenSymbol"/>
    </w:rPr>
  </w:style>
  <w:style w:type="character" w:customStyle="1" w:styleId="T19">
    <w:name w:val="T19"/>
    <w:rPr>
      <w:rFonts w:ascii="OpenSymbol" w:eastAsia="OpenSymbol" w:hAnsi="OpenSymbol" w:cs="OpenSymbol"/>
    </w:rPr>
  </w:style>
  <w:style w:type="character" w:customStyle="1" w:styleId="T20">
    <w:name w:val="T20"/>
    <w:rPr>
      <w:rFonts w:ascii="OpenSymbol" w:eastAsia="OpenSymbol" w:hAnsi="OpenSymbol" w:cs="OpenSymbol"/>
    </w:rPr>
  </w:style>
  <w:style w:type="character" w:customStyle="1" w:styleId="T21">
    <w:name w:val="T21"/>
    <w:rPr>
      <w:rFonts w:ascii="OpenSymbol" w:eastAsia="OpenSymbol" w:hAnsi="OpenSymbol" w:cs="OpenSymbol"/>
    </w:rPr>
  </w:style>
  <w:style w:type="character" w:customStyle="1" w:styleId="T22">
    <w:name w:val="T22"/>
    <w:rPr>
      <w:rFonts w:ascii="OpenSymbol" w:eastAsia="OpenSymbol" w:hAnsi="OpenSymbol" w:cs="OpenSymbol"/>
    </w:rPr>
  </w:style>
  <w:style w:type="character" w:customStyle="1" w:styleId="T23">
    <w:name w:val="T23"/>
    <w:rPr>
      <w:rFonts w:ascii="OpenSymbol" w:eastAsia="OpenSymbol" w:hAnsi="OpenSymbol" w:cs="OpenSymbol"/>
    </w:rPr>
  </w:style>
  <w:style w:type="character" w:customStyle="1" w:styleId="T24">
    <w:name w:val="T24"/>
    <w:rPr>
      <w:rFonts w:ascii="OpenSymbol" w:eastAsia="OpenSymbol" w:hAnsi="OpenSymbol" w:cs="OpenSymbol"/>
    </w:rPr>
  </w:style>
  <w:style w:type="character" w:customStyle="1" w:styleId="T25">
    <w:name w:val="T25"/>
    <w:rPr>
      <w:rFonts w:ascii="OpenSymbol" w:eastAsia="OpenSymbol" w:hAnsi="OpenSymbol" w:cs="OpenSymbol"/>
    </w:rPr>
  </w:style>
  <w:style w:type="character" w:customStyle="1" w:styleId="T26">
    <w:name w:val="T26"/>
    <w:rPr>
      <w:rFonts w:ascii="OpenSymbol" w:eastAsia="OpenSymbol" w:hAnsi="OpenSymbol" w:cs="OpenSymbol"/>
    </w:rPr>
  </w:style>
  <w:style w:type="character" w:customStyle="1" w:styleId="T27">
    <w:name w:val="T27"/>
    <w:rPr>
      <w:rFonts w:ascii="OpenSymbol" w:eastAsia="OpenSymbol" w:hAnsi="OpenSymbol" w:cs="OpenSymbol"/>
    </w:rPr>
  </w:style>
  <w:style w:type="character" w:customStyle="1" w:styleId="T28">
    <w:name w:val="T28"/>
    <w:rPr>
      <w:rFonts w:ascii="OpenSymbol" w:eastAsia="OpenSymbol" w:hAnsi="OpenSymbol" w:cs="OpenSymbol"/>
    </w:rPr>
  </w:style>
  <w:style w:type="character" w:customStyle="1" w:styleId="T29">
    <w:name w:val="T29"/>
    <w:rPr>
      <w:rFonts w:ascii="OpenSymbol" w:eastAsia="OpenSymbol" w:hAnsi="OpenSymbol" w:cs="OpenSymbol"/>
    </w:rPr>
  </w:style>
  <w:style w:type="character" w:customStyle="1" w:styleId="T30">
    <w:name w:val="T30"/>
    <w:rPr>
      <w:rFonts w:ascii="OpenSymbol" w:eastAsia="OpenSymbol" w:hAnsi="OpenSymbol" w:cs="OpenSymbol"/>
    </w:rPr>
  </w:style>
  <w:style w:type="character" w:customStyle="1" w:styleId="T31">
    <w:name w:val="T31"/>
    <w:rPr>
      <w:rFonts w:ascii="OpenSymbol" w:eastAsia="OpenSymbol" w:hAnsi="OpenSymbol" w:cs="OpenSymbol"/>
    </w:rPr>
  </w:style>
  <w:style w:type="character" w:customStyle="1" w:styleId="T32">
    <w:name w:val="T32"/>
    <w:rPr>
      <w:rFonts w:ascii="OpenSymbol" w:eastAsia="OpenSymbol" w:hAnsi="OpenSymbol" w:cs="OpenSymbol"/>
    </w:rPr>
  </w:style>
  <w:style w:type="character" w:customStyle="1" w:styleId="T33">
    <w:name w:val="T33"/>
    <w:rPr>
      <w:rFonts w:ascii="OpenSymbol" w:eastAsia="OpenSymbol" w:hAnsi="OpenSymbol" w:cs="OpenSymbol"/>
    </w:rPr>
  </w:style>
  <w:style w:type="character" w:customStyle="1" w:styleId="T34">
    <w:name w:val="T34"/>
    <w:rPr>
      <w:rFonts w:ascii="OpenSymbol" w:eastAsia="OpenSymbol" w:hAnsi="OpenSymbol" w:cs="OpenSymbol"/>
    </w:rPr>
  </w:style>
  <w:style w:type="character" w:customStyle="1" w:styleId="T35">
    <w:name w:val="T35"/>
    <w:rPr>
      <w:rFonts w:ascii="OpenSymbol" w:eastAsia="OpenSymbol" w:hAnsi="OpenSymbol" w:cs="OpenSymbol"/>
    </w:rPr>
  </w:style>
  <w:style w:type="character" w:customStyle="1" w:styleId="T36">
    <w:name w:val="T36"/>
    <w:rPr>
      <w:rFonts w:ascii="OpenSymbol" w:eastAsia="OpenSymbol" w:hAnsi="OpenSymbol" w:cs="OpenSymbol"/>
    </w:rPr>
  </w:style>
  <w:style w:type="character" w:customStyle="1" w:styleId="T37">
    <w:name w:val="T37"/>
    <w:rPr>
      <w:rFonts w:ascii="OpenSymbol" w:eastAsia="OpenSymbol" w:hAnsi="OpenSymbol" w:cs="OpenSymbol"/>
    </w:rPr>
  </w:style>
  <w:style w:type="character" w:customStyle="1" w:styleId="T38">
    <w:name w:val="T38"/>
    <w:rPr>
      <w:rFonts w:ascii="OpenSymbol" w:eastAsia="OpenSymbol" w:hAnsi="OpenSymbol" w:cs="OpenSymbol"/>
    </w:rPr>
  </w:style>
  <w:style w:type="character" w:customStyle="1" w:styleId="T39">
    <w:name w:val="T39"/>
    <w:rPr>
      <w:rFonts w:ascii="OpenSymbol" w:eastAsia="OpenSymbol" w:hAnsi="OpenSymbol" w:cs="OpenSymbol"/>
    </w:rPr>
  </w:style>
  <w:style w:type="character" w:customStyle="1" w:styleId="T40">
    <w:name w:val="T40"/>
    <w:rPr>
      <w:rFonts w:ascii="OpenSymbol" w:eastAsia="OpenSymbol" w:hAnsi="OpenSymbol" w:cs="OpenSymbol"/>
    </w:rPr>
  </w:style>
  <w:style w:type="character" w:customStyle="1" w:styleId="T41">
    <w:name w:val="T41"/>
    <w:rPr>
      <w:rFonts w:ascii="OpenSymbol" w:eastAsia="OpenSymbol" w:hAnsi="OpenSymbol" w:cs="OpenSymbol"/>
    </w:rPr>
  </w:style>
  <w:style w:type="character" w:customStyle="1" w:styleId="T42">
    <w:name w:val="T42"/>
    <w:rPr>
      <w:rFonts w:ascii="OpenSymbol" w:eastAsia="OpenSymbol" w:hAnsi="OpenSymbol" w:cs="OpenSymbol"/>
    </w:rPr>
  </w:style>
  <w:style w:type="character" w:customStyle="1" w:styleId="T43">
    <w:name w:val="T43"/>
    <w:rPr>
      <w:rFonts w:ascii="OpenSymbol" w:eastAsia="OpenSymbol" w:hAnsi="OpenSymbol" w:cs="OpenSymbol"/>
    </w:rPr>
  </w:style>
  <w:style w:type="character" w:customStyle="1" w:styleId="T44">
    <w:name w:val="T44"/>
    <w:rPr>
      <w:rFonts w:ascii="OpenSymbol" w:eastAsia="OpenSymbol" w:hAnsi="OpenSymbol" w:cs="OpenSymbol"/>
    </w:rPr>
  </w:style>
  <w:style w:type="character" w:customStyle="1" w:styleId="T45">
    <w:name w:val="T45"/>
    <w:rPr>
      <w:rFonts w:ascii="OpenSymbol" w:eastAsia="OpenSymbol" w:hAnsi="OpenSymbol" w:cs="OpenSymbol"/>
    </w:rPr>
  </w:style>
  <w:style w:type="character" w:customStyle="1" w:styleId="T46">
    <w:name w:val="T46"/>
    <w:rPr>
      <w:rFonts w:ascii="OpenSymbol" w:eastAsia="OpenSymbol" w:hAnsi="OpenSymbol" w:cs="OpenSymbol"/>
    </w:rPr>
  </w:style>
  <w:style w:type="character" w:customStyle="1" w:styleId="T47">
    <w:name w:val="T47"/>
    <w:rPr>
      <w:rFonts w:ascii="OpenSymbol" w:eastAsia="OpenSymbol" w:hAnsi="OpenSymbol" w:cs="OpenSymbol"/>
    </w:rPr>
  </w:style>
  <w:style w:type="character" w:customStyle="1" w:styleId="T48">
    <w:name w:val="T48"/>
    <w:rPr>
      <w:rFonts w:ascii="OpenSymbol" w:eastAsia="OpenSymbol" w:hAnsi="OpenSymbol" w:cs="OpenSymbol"/>
    </w:rPr>
  </w:style>
  <w:style w:type="character" w:customStyle="1" w:styleId="T49">
    <w:name w:val="T49"/>
    <w:rPr>
      <w:rFonts w:ascii="OpenSymbol" w:eastAsia="OpenSymbol" w:hAnsi="OpenSymbol" w:cs="OpenSymbol"/>
    </w:rPr>
  </w:style>
  <w:style w:type="character" w:customStyle="1" w:styleId="T50">
    <w:name w:val="T50"/>
    <w:rPr>
      <w:rFonts w:ascii="OpenSymbol" w:eastAsia="OpenSymbol" w:hAnsi="OpenSymbol" w:cs="OpenSymbol"/>
    </w:rPr>
  </w:style>
  <w:style w:type="character" w:customStyle="1" w:styleId="T51">
    <w:name w:val="T51"/>
    <w:rPr>
      <w:rFonts w:ascii="OpenSymbol" w:eastAsia="OpenSymbol" w:hAnsi="OpenSymbol" w:cs="OpenSymbol"/>
    </w:rPr>
  </w:style>
  <w:style w:type="character" w:customStyle="1" w:styleId="T52">
    <w:name w:val="T52"/>
    <w:rPr>
      <w:rFonts w:ascii="OpenSymbol" w:eastAsia="OpenSymbol" w:hAnsi="OpenSymbol" w:cs="OpenSymbol"/>
    </w:rPr>
  </w:style>
  <w:style w:type="character" w:customStyle="1" w:styleId="T53">
    <w:name w:val="T53"/>
    <w:rPr>
      <w:rFonts w:ascii="OpenSymbol" w:eastAsia="OpenSymbol" w:hAnsi="OpenSymbol" w:cs="OpenSymbol"/>
    </w:rPr>
  </w:style>
  <w:style w:type="character" w:customStyle="1" w:styleId="T54">
    <w:name w:val="T54"/>
    <w:rPr>
      <w:rFonts w:ascii="OpenSymbol" w:eastAsia="OpenSymbol" w:hAnsi="OpenSymbol" w:cs="OpenSymbol"/>
    </w:rPr>
  </w:style>
  <w:style w:type="character" w:customStyle="1" w:styleId="T55">
    <w:name w:val="T55"/>
    <w:rPr>
      <w:rFonts w:ascii="OpenSymbol" w:eastAsia="OpenSymbol" w:hAnsi="OpenSymbol" w:cs="OpenSymbol"/>
    </w:rPr>
  </w:style>
  <w:style w:type="character" w:customStyle="1" w:styleId="T56">
    <w:name w:val="T56"/>
    <w:rPr>
      <w:rFonts w:ascii="OpenSymbol" w:eastAsia="OpenSymbol" w:hAnsi="OpenSymbol" w:cs="OpenSymbol"/>
    </w:rPr>
  </w:style>
  <w:style w:type="character" w:customStyle="1" w:styleId="T57">
    <w:name w:val="T57"/>
    <w:rPr>
      <w:rFonts w:ascii="OpenSymbol" w:eastAsia="OpenSymbol" w:hAnsi="OpenSymbol" w:cs="OpenSymbol"/>
    </w:rPr>
  </w:style>
  <w:style w:type="character" w:customStyle="1" w:styleId="T58">
    <w:name w:val="T58"/>
    <w:rPr>
      <w:rFonts w:ascii="OpenSymbol" w:eastAsia="OpenSymbol" w:hAnsi="OpenSymbol" w:cs="OpenSymbol"/>
    </w:rPr>
  </w:style>
  <w:style w:type="character" w:customStyle="1" w:styleId="T59">
    <w:name w:val="T59"/>
    <w:rPr>
      <w:rFonts w:ascii="OpenSymbol" w:eastAsia="OpenSymbol" w:hAnsi="OpenSymbol" w:cs="OpenSymbol"/>
    </w:rPr>
  </w:style>
  <w:style w:type="character" w:customStyle="1" w:styleId="T60">
    <w:name w:val="T60"/>
    <w:rPr>
      <w:rFonts w:ascii="OpenSymbol" w:eastAsia="OpenSymbol" w:hAnsi="OpenSymbol" w:cs="OpenSymbol"/>
    </w:rPr>
  </w:style>
  <w:style w:type="character" w:customStyle="1" w:styleId="T61">
    <w:name w:val="T61"/>
    <w:rPr>
      <w:rFonts w:ascii="OpenSymbol" w:eastAsia="OpenSymbol" w:hAnsi="OpenSymbol" w:cs="OpenSymbol"/>
    </w:rPr>
  </w:style>
  <w:style w:type="character" w:customStyle="1" w:styleId="T62">
    <w:name w:val="T62"/>
    <w:rPr>
      <w:rFonts w:ascii="OpenSymbol" w:eastAsia="OpenSymbol" w:hAnsi="OpenSymbol" w:cs="OpenSymbol"/>
    </w:rPr>
  </w:style>
  <w:style w:type="character" w:customStyle="1" w:styleId="T63">
    <w:name w:val="T63"/>
    <w:rPr>
      <w:rFonts w:ascii="OpenSymbol" w:eastAsia="OpenSymbol" w:hAnsi="OpenSymbol" w:cs="OpenSymbol"/>
    </w:rPr>
  </w:style>
  <w:style w:type="character" w:customStyle="1" w:styleId="T64">
    <w:name w:val="T64"/>
    <w:rPr>
      <w:rFonts w:ascii="OpenSymbol" w:eastAsia="OpenSymbol" w:hAnsi="OpenSymbol" w:cs="OpenSymbol"/>
    </w:rPr>
  </w:style>
  <w:style w:type="character" w:customStyle="1" w:styleId="T65">
    <w:name w:val="T65"/>
    <w:rPr>
      <w:rFonts w:ascii="OpenSymbol" w:eastAsia="OpenSymbol" w:hAnsi="OpenSymbol" w:cs="OpenSymbol"/>
    </w:rPr>
  </w:style>
  <w:style w:type="character" w:customStyle="1" w:styleId="T66">
    <w:name w:val="T66"/>
    <w:rPr>
      <w:rFonts w:ascii="OpenSymbol" w:eastAsia="OpenSymbol" w:hAnsi="OpenSymbol" w:cs="OpenSymbol"/>
    </w:rPr>
  </w:style>
  <w:style w:type="character" w:customStyle="1" w:styleId="T67">
    <w:name w:val="T67"/>
    <w:rPr>
      <w:rFonts w:ascii="OpenSymbol" w:eastAsia="OpenSymbol" w:hAnsi="OpenSymbol" w:cs="OpenSymbol"/>
    </w:rPr>
  </w:style>
  <w:style w:type="character" w:customStyle="1" w:styleId="T68">
    <w:name w:val="T68"/>
    <w:rPr>
      <w:rFonts w:ascii="OpenSymbol" w:eastAsia="OpenSymbol" w:hAnsi="OpenSymbol" w:cs="OpenSymbol"/>
    </w:rPr>
  </w:style>
  <w:style w:type="character" w:customStyle="1" w:styleId="T69">
    <w:name w:val="T69"/>
    <w:rPr>
      <w:rFonts w:ascii="OpenSymbol" w:eastAsia="OpenSymbol" w:hAnsi="OpenSymbol" w:cs="OpenSymbol"/>
    </w:rPr>
  </w:style>
  <w:style w:type="character" w:customStyle="1" w:styleId="T70">
    <w:name w:val="T70"/>
    <w:rPr>
      <w:rFonts w:ascii="OpenSymbol" w:eastAsia="OpenSymbol" w:hAnsi="OpenSymbol" w:cs="OpenSymbol"/>
    </w:rPr>
  </w:style>
  <w:style w:type="character" w:customStyle="1" w:styleId="T71">
    <w:name w:val="T71"/>
    <w:rPr>
      <w:rFonts w:ascii="OpenSymbol" w:eastAsia="OpenSymbol" w:hAnsi="OpenSymbol" w:cs="OpenSymbol"/>
    </w:rPr>
  </w:style>
  <w:style w:type="character" w:customStyle="1" w:styleId="T72">
    <w:name w:val="T72"/>
    <w:rPr>
      <w:rFonts w:ascii="OpenSymbol" w:eastAsia="OpenSymbol" w:hAnsi="OpenSymbol" w:cs="OpenSymbol"/>
    </w:rPr>
  </w:style>
  <w:style w:type="character" w:customStyle="1" w:styleId="T73">
    <w:name w:val="T73"/>
    <w:rPr>
      <w:rFonts w:ascii="OpenSymbol" w:eastAsia="OpenSymbol" w:hAnsi="OpenSymbol" w:cs="OpenSymbol"/>
    </w:rPr>
  </w:style>
  <w:style w:type="character" w:customStyle="1" w:styleId="T74">
    <w:name w:val="T74"/>
    <w:rPr>
      <w:rFonts w:ascii="OpenSymbol" w:eastAsia="OpenSymbol" w:hAnsi="OpenSymbol" w:cs="OpenSymbol"/>
    </w:rPr>
  </w:style>
  <w:style w:type="character" w:customStyle="1" w:styleId="T75">
    <w:name w:val="T75"/>
    <w:rPr>
      <w:rFonts w:ascii="OpenSymbol" w:eastAsia="OpenSymbol" w:hAnsi="OpenSymbol" w:cs="OpenSymbol"/>
    </w:rPr>
  </w:style>
  <w:style w:type="character" w:customStyle="1" w:styleId="T76">
    <w:name w:val="T76"/>
    <w:rPr>
      <w:rFonts w:ascii="OpenSymbol" w:eastAsia="OpenSymbol" w:hAnsi="OpenSymbol" w:cs="OpenSymbol"/>
    </w:rPr>
  </w:style>
  <w:style w:type="character" w:customStyle="1" w:styleId="T77">
    <w:name w:val="T77"/>
    <w:rPr>
      <w:rFonts w:ascii="OpenSymbol" w:eastAsia="OpenSymbol" w:hAnsi="OpenSymbol" w:cs="OpenSymbol"/>
    </w:rPr>
  </w:style>
  <w:style w:type="character" w:customStyle="1" w:styleId="T78">
    <w:name w:val="T78"/>
    <w:rPr>
      <w:rFonts w:ascii="OpenSymbol" w:eastAsia="OpenSymbol" w:hAnsi="OpenSymbol" w:cs="OpenSymbol"/>
    </w:rPr>
  </w:style>
  <w:style w:type="character" w:customStyle="1" w:styleId="T79">
    <w:name w:val="T79"/>
    <w:rPr>
      <w:rFonts w:ascii="OpenSymbol" w:eastAsia="OpenSymbol" w:hAnsi="OpenSymbol" w:cs="OpenSymbol"/>
    </w:rPr>
  </w:style>
  <w:style w:type="character" w:customStyle="1" w:styleId="T80">
    <w:name w:val="T80"/>
    <w:rPr>
      <w:rFonts w:ascii="OpenSymbol" w:eastAsia="OpenSymbol" w:hAnsi="OpenSymbol" w:cs="OpenSymbol"/>
    </w:rPr>
  </w:style>
  <w:style w:type="character" w:customStyle="1" w:styleId="T81">
    <w:name w:val="T81"/>
    <w:rPr>
      <w:rFonts w:ascii="OpenSymbol" w:eastAsia="OpenSymbol" w:hAnsi="OpenSymbol" w:cs="OpenSymbol"/>
    </w:rPr>
  </w:style>
  <w:style w:type="character" w:customStyle="1" w:styleId="T82">
    <w:name w:val="T82"/>
    <w:rPr>
      <w:rFonts w:ascii="OpenSymbol" w:eastAsia="OpenSymbol" w:hAnsi="OpenSymbol" w:cs="OpenSymbol"/>
    </w:rPr>
  </w:style>
  <w:style w:type="character" w:customStyle="1" w:styleId="T83">
    <w:name w:val="T83"/>
    <w:rPr>
      <w:rFonts w:ascii="OpenSymbol" w:eastAsia="OpenSymbol" w:hAnsi="OpenSymbol" w:cs="OpenSymbol"/>
    </w:rPr>
  </w:style>
  <w:style w:type="character" w:customStyle="1" w:styleId="T84">
    <w:name w:val="T84"/>
    <w:rPr>
      <w:rFonts w:ascii="OpenSymbol" w:eastAsia="OpenSymbol" w:hAnsi="OpenSymbol" w:cs="OpenSymbol"/>
    </w:rPr>
  </w:style>
  <w:style w:type="character" w:customStyle="1" w:styleId="T85">
    <w:name w:val="T85"/>
    <w:rPr>
      <w:rFonts w:ascii="OpenSymbol" w:eastAsia="OpenSymbol" w:hAnsi="OpenSymbol" w:cs="OpenSymbol"/>
    </w:rPr>
  </w:style>
  <w:style w:type="character" w:customStyle="1" w:styleId="T86">
    <w:name w:val="T86"/>
    <w:rPr>
      <w:rFonts w:ascii="OpenSymbol" w:eastAsia="OpenSymbol" w:hAnsi="OpenSymbol" w:cs="OpenSymbol"/>
    </w:rPr>
  </w:style>
  <w:style w:type="character" w:customStyle="1" w:styleId="T87">
    <w:name w:val="T87"/>
    <w:rPr>
      <w:rFonts w:ascii="OpenSymbol" w:eastAsia="OpenSymbol" w:hAnsi="OpenSymbol" w:cs="OpenSymbol"/>
    </w:rPr>
  </w:style>
  <w:style w:type="character" w:customStyle="1" w:styleId="T88">
    <w:name w:val="T88"/>
    <w:rPr>
      <w:rFonts w:ascii="OpenSymbol" w:eastAsia="OpenSymbol" w:hAnsi="OpenSymbol" w:cs="OpenSymbol"/>
    </w:rPr>
  </w:style>
  <w:style w:type="character" w:customStyle="1" w:styleId="T89">
    <w:name w:val="T89"/>
    <w:rPr>
      <w:rFonts w:ascii="OpenSymbol" w:eastAsia="OpenSymbol" w:hAnsi="OpenSymbol" w:cs="OpenSymbol"/>
    </w:rPr>
  </w:style>
  <w:style w:type="character" w:customStyle="1" w:styleId="T90">
    <w:name w:val="T90"/>
    <w:rPr>
      <w:rFonts w:ascii="OpenSymbol" w:eastAsia="OpenSymbol" w:hAnsi="OpenSymbol" w:cs="OpenSymbol"/>
    </w:rPr>
  </w:style>
  <w:style w:type="character" w:customStyle="1" w:styleId="T91">
    <w:name w:val="T91"/>
    <w:rPr>
      <w:rFonts w:ascii="OpenSymbol" w:eastAsia="OpenSymbol" w:hAnsi="OpenSymbol" w:cs="OpenSymbol"/>
    </w:rPr>
  </w:style>
  <w:style w:type="character" w:customStyle="1" w:styleId="T92">
    <w:name w:val="T92"/>
    <w:rPr>
      <w:rFonts w:ascii="OpenSymbol" w:eastAsia="OpenSymbol" w:hAnsi="OpenSymbol" w:cs="OpenSymbol"/>
    </w:rPr>
  </w:style>
  <w:style w:type="character" w:customStyle="1" w:styleId="T93">
    <w:name w:val="T93"/>
    <w:rPr>
      <w:rFonts w:ascii="OpenSymbol" w:eastAsia="OpenSymbol" w:hAnsi="OpenSymbol" w:cs="OpenSymbol"/>
    </w:rPr>
  </w:style>
  <w:style w:type="character" w:customStyle="1" w:styleId="T94">
    <w:name w:val="T94"/>
    <w:rPr>
      <w:rFonts w:ascii="OpenSymbol" w:eastAsia="OpenSymbol" w:hAnsi="OpenSymbol" w:cs="OpenSymbol"/>
    </w:rPr>
  </w:style>
  <w:style w:type="character" w:customStyle="1" w:styleId="T95">
    <w:name w:val="T95"/>
    <w:rPr>
      <w:rFonts w:ascii="OpenSymbol" w:eastAsia="OpenSymbol" w:hAnsi="OpenSymbol" w:cs="OpenSymbol"/>
    </w:rPr>
  </w:style>
  <w:style w:type="character" w:customStyle="1" w:styleId="T96">
    <w:name w:val="T96"/>
    <w:rPr>
      <w:rFonts w:ascii="OpenSymbol" w:eastAsia="OpenSymbol" w:hAnsi="OpenSymbol" w:cs="OpenSymbol"/>
    </w:rPr>
  </w:style>
  <w:style w:type="character" w:customStyle="1" w:styleId="T97">
    <w:name w:val="T97"/>
    <w:rPr>
      <w:rFonts w:ascii="OpenSymbol" w:eastAsia="OpenSymbol" w:hAnsi="OpenSymbol" w:cs="OpenSymbol"/>
    </w:rPr>
  </w:style>
  <w:style w:type="character" w:customStyle="1" w:styleId="T98">
    <w:name w:val="T98"/>
    <w:rPr>
      <w:rFonts w:ascii="OpenSymbol" w:eastAsia="OpenSymbol" w:hAnsi="OpenSymbol" w:cs="OpenSymbol"/>
    </w:rPr>
  </w:style>
  <w:style w:type="character" w:customStyle="1" w:styleId="T99">
    <w:name w:val="T99"/>
    <w:rPr>
      <w:rFonts w:ascii="OpenSymbol" w:eastAsia="OpenSymbol" w:hAnsi="OpenSymbol" w:cs="OpenSymbol"/>
    </w:rPr>
  </w:style>
  <w:style w:type="character" w:customStyle="1" w:styleId="T100">
    <w:name w:val="T100"/>
    <w:rPr>
      <w:rFonts w:ascii="OpenSymbol" w:eastAsia="OpenSymbol" w:hAnsi="OpenSymbol" w:cs="OpenSymbol"/>
    </w:rPr>
  </w:style>
  <w:style w:type="character" w:customStyle="1" w:styleId="T101">
    <w:name w:val="T101"/>
    <w:rPr>
      <w:rFonts w:ascii="OpenSymbol" w:eastAsia="OpenSymbol" w:hAnsi="OpenSymbol" w:cs="OpenSymbol"/>
    </w:rPr>
  </w:style>
  <w:style w:type="character" w:customStyle="1" w:styleId="T102">
    <w:name w:val="T102"/>
    <w:rPr>
      <w:rFonts w:ascii="OpenSymbol" w:eastAsia="OpenSymbol" w:hAnsi="OpenSymbol" w:cs="OpenSymbol"/>
    </w:rPr>
  </w:style>
  <w:style w:type="character" w:customStyle="1" w:styleId="T103">
    <w:name w:val="T103"/>
    <w:rPr>
      <w:rFonts w:ascii="OpenSymbol" w:eastAsia="OpenSymbol" w:hAnsi="OpenSymbol" w:cs="OpenSymbol"/>
    </w:rPr>
  </w:style>
  <w:style w:type="character" w:customStyle="1" w:styleId="T104">
    <w:name w:val="T104"/>
    <w:rPr>
      <w:rFonts w:ascii="OpenSymbol" w:eastAsia="OpenSymbol" w:hAnsi="OpenSymbol" w:cs="OpenSymbol"/>
    </w:rPr>
  </w:style>
  <w:style w:type="character" w:customStyle="1" w:styleId="T105">
    <w:name w:val="T105"/>
    <w:rPr>
      <w:rFonts w:ascii="OpenSymbol" w:eastAsia="OpenSymbol" w:hAnsi="OpenSymbol" w:cs="OpenSymbol"/>
    </w:rPr>
  </w:style>
  <w:style w:type="character" w:customStyle="1" w:styleId="T106">
    <w:name w:val="T106"/>
    <w:rPr>
      <w:rFonts w:ascii="OpenSymbol" w:eastAsia="OpenSymbol" w:hAnsi="OpenSymbol" w:cs="OpenSymbol"/>
    </w:rPr>
  </w:style>
  <w:style w:type="character" w:customStyle="1" w:styleId="T107">
    <w:name w:val="T107"/>
    <w:rPr>
      <w:rFonts w:ascii="OpenSymbol" w:eastAsia="OpenSymbol" w:hAnsi="OpenSymbol" w:cs="OpenSymbol"/>
    </w:rPr>
  </w:style>
  <w:style w:type="character" w:customStyle="1" w:styleId="T108">
    <w:name w:val="T108"/>
    <w:rPr>
      <w:rFonts w:ascii="OpenSymbol" w:eastAsia="OpenSymbol" w:hAnsi="OpenSymbol" w:cs="OpenSymbol"/>
    </w:rPr>
  </w:style>
  <w:style w:type="character" w:customStyle="1" w:styleId="T109">
    <w:name w:val="T109"/>
    <w:rPr>
      <w:rFonts w:ascii="OpenSymbol" w:eastAsia="OpenSymbol" w:hAnsi="OpenSymbol" w:cs="OpenSymbol"/>
    </w:rPr>
  </w:style>
  <w:style w:type="character" w:customStyle="1" w:styleId="T110">
    <w:name w:val="T110"/>
    <w:rPr>
      <w:rFonts w:ascii="OpenSymbol" w:eastAsia="OpenSymbol" w:hAnsi="OpenSymbol" w:cs="OpenSymbol"/>
    </w:rPr>
  </w:style>
  <w:style w:type="character" w:customStyle="1" w:styleId="T111">
    <w:name w:val="T111"/>
    <w:rPr>
      <w:rFonts w:ascii="OpenSymbol" w:eastAsia="OpenSymbol" w:hAnsi="OpenSymbol" w:cs="OpenSymbol"/>
    </w:rPr>
  </w:style>
  <w:style w:type="character" w:customStyle="1" w:styleId="T112">
    <w:name w:val="T112"/>
    <w:rPr>
      <w:rFonts w:ascii="OpenSymbol" w:eastAsia="OpenSymbol" w:hAnsi="OpenSymbol" w:cs="OpenSymbol"/>
    </w:rPr>
  </w:style>
  <w:style w:type="character" w:customStyle="1" w:styleId="T113">
    <w:name w:val="T113"/>
    <w:rPr>
      <w:rFonts w:ascii="OpenSymbol" w:eastAsia="OpenSymbol" w:hAnsi="OpenSymbol" w:cs="OpenSymbol"/>
    </w:rPr>
  </w:style>
  <w:style w:type="character" w:customStyle="1" w:styleId="T114">
    <w:name w:val="T114"/>
    <w:rPr>
      <w:rFonts w:ascii="OpenSymbol" w:eastAsia="OpenSymbol" w:hAnsi="OpenSymbol" w:cs="OpenSymbol"/>
    </w:rPr>
  </w:style>
  <w:style w:type="character" w:customStyle="1" w:styleId="T115">
    <w:name w:val="T115"/>
    <w:rPr>
      <w:rFonts w:ascii="OpenSymbol" w:eastAsia="OpenSymbol" w:hAnsi="OpenSymbol" w:cs="OpenSymbol"/>
    </w:rPr>
  </w:style>
  <w:style w:type="character" w:customStyle="1" w:styleId="T116">
    <w:name w:val="T116"/>
    <w:rPr>
      <w:rFonts w:ascii="OpenSymbol" w:eastAsia="OpenSymbol" w:hAnsi="OpenSymbol" w:cs="OpenSymbol"/>
    </w:rPr>
  </w:style>
  <w:style w:type="character" w:customStyle="1" w:styleId="T117">
    <w:name w:val="T117"/>
    <w:rPr>
      <w:rFonts w:ascii="OpenSymbol" w:eastAsia="OpenSymbol" w:hAnsi="OpenSymbol" w:cs="OpenSymbol"/>
    </w:rPr>
  </w:style>
  <w:style w:type="character" w:customStyle="1" w:styleId="T118">
    <w:name w:val="T118"/>
    <w:rPr>
      <w:rFonts w:ascii="OpenSymbol" w:eastAsia="OpenSymbol" w:hAnsi="OpenSymbol" w:cs="OpenSymbol"/>
    </w:rPr>
  </w:style>
  <w:style w:type="character" w:customStyle="1" w:styleId="T119">
    <w:name w:val="T119"/>
    <w:rPr>
      <w:rFonts w:ascii="OpenSymbol" w:eastAsia="OpenSymbol" w:hAnsi="OpenSymbol" w:cs="OpenSymbol"/>
    </w:rPr>
  </w:style>
  <w:style w:type="character" w:customStyle="1" w:styleId="T120">
    <w:name w:val="T120"/>
    <w:rPr>
      <w:rFonts w:ascii="OpenSymbol" w:eastAsia="OpenSymbol" w:hAnsi="OpenSymbol" w:cs="OpenSymbol"/>
    </w:rPr>
  </w:style>
  <w:style w:type="character" w:customStyle="1" w:styleId="T121">
    <w:name w:val="T121"/>
    <w:rPr>
      <w:rFonts w:ascii="OpenSymbol" w:eastAsia="OpenSymbol" w:hAnsi="OpenSymbol" w:cs="OpenSymbol"/>
    </w:rPr>
  </w:style>
  <w:style w:type="character" w:customStyle="1" w:styleId="T122">
    <w:name w:val="T122"/>
    <w:rPr>
      <w:rFonts w:ascii="OpenSymbol" w:eastAsia="OpenSymbol" w:hAnsi="OpenSymbol" w:cs="OpenSymbol"/>
    </w:rPr>
  </w:style>
  <w:style w:type="character" w:customStyle="1" w:styleId="T123">
    <w:name w:val="T123"/>
    <w:rPr>
      <w:rFonts w:ascii="OpenSymbol" w:eastAsia="OpenSymbol" w:hAnsi="OpenSymbol" w:cs="OpenSymbol"/>
    </w:rPr>
  </w:style>
  <w:style w:type="character" w:customStyle="1" w:styleId="T124">
    <w:name w:val="T124"/>
    <w:rPr>
      <w:rFonts w:ascii="OpenSymbol" w:eastAsia="OpenSymbol" w:hAnsi="OpenSymbol" w:cs="OpenSymbol"/>
    </w:rPr>
  </w:style>
  <w:style w:type="character" w:customStyle="1" w:styleId="T125">
    <w:name w:val="T125"/>
    <w:rPr>
      <w:rFonts w:ascii="OpenSymbol" w:eastAsia="OpenSymbol" w:hAnsi="OpenSymbol" w:cs="OpenSymbol"/>
    </w:rPr>
  </w:style>
  <w:style w:type="character" w:customStyle="1" w:styleId="T126">
    <w:name w:val="T126"/>
    <w:rPr>
      <w:rFonts w:ascii="OpenSymbol" w:eastAsia="OpenSymbol" w:hAnsi="OpenSymbol" w:cs="OpenSymbol"/>
    </w:rPr>
  </w:style>
  <w:style w:type="character" w:customStyle="1" w:styleId="T127">
    <w:name w:val="T127"/>
    <w:rPr>
      <w:rFonts w:ascii="Arial" w:eastAsia="Arial" w:hAnsi="Arial" w:cs="Arial"/>
    </w:rPr>
  </w:style>
  <w:style w:type="character" w:customStyle="1" w:styleId="T128">
    <w:name w:val="T128"/>
    <w:rPr>
      <w:rFonts w:ascii="Courier New" w:eastAsia="Courier New" w:hAnsi="Courier New" w:cs="Courier New"/>
    </w:rPr>
  </w:style>
  <w:style w:type="character" w:customStyle="1" w:styleId="T129">
    <w:name w:val="T129"/>
    <w:rPr>
      <w:rFonts w:ascii="Wingdings" w:eastAsia="Wingdings" w:hAnsi="Wingdings" w:cs="Wingdings"/>
    </w:rPr>
  </w:style>
  <w:style w:type="character" w:customStyle="1" w:styleId="T130">
    <w:name w:val="T130"/>
    <w:rPr>
      <w:rFonts w:ascii="Symbol" w:eastAsia="Symbol" w:hAnsi="Symbol" w:cs="Symbol"/>
    </w:rPr>
  </w:style>
  <w:style w:type="character" w:customStyle="1" w:styleId="T131">
    <w:name w:val="T131"/>
    <w:rPr>
      <w:rFonts w:ascii="Courier New" w:eastAsia="Courier New" w:hAnsi="Courier New" w:cs="Courier New"/>
    </w:rPr>
  </w:style>
  <w:style w:type="character" w:customStyle="1" w:styleId="T132">
    <w:name w:val="T132"/>
    <w:rPr>
      <w:rFonts w:ascii="Wingdings" w:eastAsia="Wingdings" w:hAnsi="Wingdings" w:cs="Wingdings"/>
    </w:rPr>
  </w:style>
  <w:style w:type="character" w:customStyle="1" w:styleId="T133">
    <w:name w:val="T133"/>
    <w:rPr>
      <w:rFonts w:ascii="Symbol" w:eastAsia="Symbol" w:hAnsi="Symbol" w:cs="Symbol"/>
    </w:rPr>
  </w:style>
  <w:style w:type="character" w:customStyle="1" w:styleId="T134">
    <w:name w:val="T134"/>
    <w:rPr>
      <w:rFonts w:ascii="Courier New" w:eastAsia="Courier New" w:hAnsi="Courier New" w:cs="Courier New"/>
    </w:rPr>
  </w:style>
  <w:style w:type="character" w:customStyle="1" w:styleId="T135">
    <w:name w:val="T135"/>
    <w:rPr>
      <w:rFonts w:ascii="Wingdings" w:eastAsia="Wingdings" w:hAnsi="Wingdings" w:cs="Wingdings"/>
    </w:rPr>
  </w:style>
  <w:style w:type="character" w:customStyle="1" w:styleId="T136">
    <w:name w:val="T136"/>
    <w:rPr>
      <w:rFonts w:ascii="OpenSymbol" w:eastAsia="OpenSymbol" w:hAnsi="OpenSymbol" w:cs="OpenSymbol"/>
    </w:rPr>
  </w:style>
  <w:style w:type="character" w:customStyle="1" w:styleId="T137">
    <w:name w:val="T137"/>
    <w:rPr>
      <w:rFonts w:ascii="OpenSymbol" w:eastAsia="OpenSymbol" w:hAnsi="OpenSymbol" w:cs="OpenSymbol"/>
    </w:rPr>
  </w:style>
  <w:style w:type="character" w:customStyle="1" w:styleId="T138">
    <w:name w:val="T138"/>
    <w:rPr>
      <w:rFonts w:ascii="OpenSymbol" w:eastAsia="OpenSymbol" w:hAnsi="OpenSymbol" w:cs="OpenSymbol"/>
    </w:rPr>
  </w:style>
  <w:style w:type="character" w:customStyle="1" w:styleId="T139">
    <w:name w:val="T139"/>
    <w:rPr>
      <w:rFonts w:ascii="OpenSymbol" w:eastAsia="OpenSymbol" w:hAnsi="OpenSymbol" w:cs="OpenSymbol"/>
    </w:rPr>
  </w:style>
  <w:style w:type="character" w:customStyle="1" w:styleId="T140">
    <w:name w:val="T140"/>
    <w:rPr>
      <w:rFonts w:ascii="OpenSymbol" w:eastAsia="OpenSymbol" w:hAnsi="OpenSymbol" w:cs="OpenSymbol"/>
    </w:rPr>
  </w:style>
  <w:style w:type="character" w:customStyle="1" w:styleId="T141">
    <w:name w:val="T141"/>
    <w:rPr>
      <w:rFonts w:ascii="OpenSymbol" w:eastAsia="OpenSymbol" w:hAnsi="OpenSymbol" w:cs="OpenSymbol"/>
    </w:rPr>
  </w:style>
  <w:style w:type="character" w:customStyle="1" w:styleId="T142">
    <w:name w:val="T142"/>
    <w:rPr>
      <w:rFonts w:ascii="OpenSymbol" w:eastAsia="OpenSymbol" w:hAnsi="OpenSymbol" w:cs="OpenSymbol"/>
    </w:rPr>
  </w:style>
  <w:style w:type="character" w:customStyle="1" w:styleId="T143">
    <w:name w:val="T143"/>
    <w:rPr>
      <w:rFonts w:ascii="OpenSymbol" w:eastAsia="OpenSymbol" w:hAnsi="OpenSymbol" w:cs="OpenSymbol"/>
    </w:rPr>
  </w:style>
  <w:style w:type="character" w:customStyle="1" w:styleId="T144">
    <w:name w:val="T144"/>
    <w:rPr>
      <w:rFonts w:ascii="OpenSymbol" w:eastAsia="OpenSymbol" w:hAnsi="OpenSymbol" w:cs="OpenSymbol"/>
    </w:rPr>
  </w:style>
  <w:style w:type="character" w:customStyle="1" w:styleId="T145">
    <w:name w:val="T145"/>
    <w:rPr>
      <w:rFonts w:ascii="OpenSymbol" w:eastAsia="OpenSymbol" w:hAnsi="OpenSymbol" w:cs="OpenSymbol"/>
    </w:rPr>
  </w:style>
  <w:style w:type="character" w:customStyle="1" w:styleId="T146">
    <w:name w:val="T146"/>
    <w:rPr>
      <w:rFonts w:ascii="OpenSymbol" w:eastAsia="OpenSymbol" w:hAnsi="OpenSymbol" w:cs="OpenSymbol"/>
    </w:rPr>
  </w:style>
  <w:style w:type="character" w:customStyle="1" w:styleId="T147">
    <w:name w:val="T147"/>
    <w:rPr>
      <w:rFonts w:ascii="OpenSymbol" w:eastAsia="OpenSymbol" w:hAnsi="OpenSymbol" w:cs="OpenSymbol"/>
    </w:rPr>
  </w:style>
  <w:style w:type="character" w:customStyle="1" w:styleId="T148">
    <w:name w:val="T148"/>
    <w:rPr>
      <w:rFonts w:ascii="OpenSymbol" w:eastAsia="OpenSymbol" w:hAnsi="OpenSymbol" w:cs="OpenSymbol"/>
    </w:rPr>
  </w:style>
  <w:style w:type="character" w:customStyle="1" w:styleId="T149">
    <w:name w:val="T149"/>
    <w:rPr>
      <w:rFonts w:ascii="OpenSymbol" w:eastAsia="OpenSymbol" w:hAnsi="OpenSymbol" w:cs="OpenSymbol"/>
    </w:rPr>
  </w:style>
  <w:style w:type="character" w:customStyle="1" w:styleId="T150">
    <w:name w:val="T150"/>
    <w:rPr>
      <w:rFonts w:ascii="OpenSymbol" w:eastAsia="OpenSymbol" w:hAnsi="OpenSymbol" w:cs="OpenSymbol"/>
    </w:rPr>
  </w:style>
  <w:style w:type="character" w:customStyle="1" w:styleId="T151">
    <w:name w:val="T151"/>
    <w:rPr>
      <w:rFonts w:ascii="OpenSymbol" w:eastAsia="OpenSymbol" w:hAnsi="OpenSymbol" w:cs="OpenSymbol"/>
    </w:rPr>
  </w:style>
  <w:style w:type="character" w:customStyle="1" w:styleId="T152">
    <w:name w:val="T152"/>
    <w:rPr>
      <w:rFonts w:ascii="OpenSymbol" w:eastAsia="OpenSymbol" w:hAnsi="OpenSymbol" w:cs="OpenSymbol"/>
    </w:rPr>
  </w:style>
  <w:style w:type="character" w:customStyle="1" w:styleId="T153">
    <w:name w:val="T153"/>
    <w:rPr>
      <w:rFonts w:ascii="OpenSymbol" w:eastAsia="OpenSymbol" w:hAnsi="OpenSymbol" w:cs="OpenSymbol"/>
    </w:rPr>
  </w:style>
  <w:style w:type="character" w:customStyle="1" w:styleId="T154">
    <w:name w:val="T154"/>
    <w:rPr>
      <w:rFonts w:ascii="OpenSymbol" w:eastAsia="OpenSymbol" w:hAnsi="OpenSymbol" w:cs="OpenSymbol"/>
    </w:rPr>
  </w:style>
  <w:style w:type="character" w:customStyle="1" w:styleId="T155">
    <w:name w:val="T155"/>
    <w:rPr>
      <w:rFonts w:ascii="OpenSymbol" w:eastAsia="OpenSymbol" w:hAnsi="OpenSymbol" w:cs="OpenSymbol"/>
    </w:rPr>
  </w:style>
  <w:style w:type="character" w:customStyle="1" w:styleId="T156">
    <w:name w:val="T156"/>
    <w:rPr>
      <w:rFonts w:ascii="OpenSymbol" w:eastAsia="OpenSymbol" w:hAnsi="OpenSymbol" w:cs="OpenSymbol"/>
    </w:rPr>
  </w:style>
  <w:style w:type="character" w:customStyle="1" w:styleId="T157">
    <w:name w:val="T157"/>
    <w:rPr>
      <w:rFonts w:ascii="OpenSymbol" w:eastAsia="OpenSymbol" w:hAnsi="OpenSymbol" w:cs="OpenSymbol"/>
    </w:rPr>
  </w:style>
  <w:style w:type="character" w:customStyle="1" w:styleId="T158">
    <w:name w:val="T158"/>
    <w:rPr>
      <w:rFonts w:ascii="OpenSymbol" w:eastAsia="OpenSymbol" w:hAnsi="OpenSymbol" w:cs="OpenSymbol"/>
    </w:rPr>
  </w:style>
  <w:style w:type="character" w:customStyle="1" w:styleId="T159">
    <w:name w:val="T159"/>
    <w:rPr>
      <w:rFonts w:ascii="OpenSymbol" w:eastAsia="OpenSymbol" w:hAnsi="OpenSymbol" w:cs="OpenSymbol"/>
    </w:rPr>
  </w:style>
  <w:style w:type="character" w:customStyle="1" w:styleId="T160">
    <w:name w:val="T160"/>
    <w:rPr>
      <w:rFonts w:ascii="OpenSymbol" w:eastAsia="OpenSymbol" w:hAnsi="OpenSymbol" w:cs="OpenSymbol"/>
    </w:rPr>
  </w:style>
  <w:style w:type="character" w:customStyle="1" w:styleId="T161">
    <w:name w:val="T161"/>
    <w:rPr>
      <w:rFonts w:ascii="OpenSymbol" w:eastAsia="OpenSymbol" w:hAnsi="OpenSymbol" w:cs="OpenSymbol"/>
    </w:rPr>
  </w:style>
  <w:style w:type="character" w:customStyle="1" w:styleId="T162">
    <w:name w:val="T162"/>
    <w:rPr>
      <w:rFonts w:ascii="OpenSymbol" w:eastAsia="OpenSymbol" w:hAnsi="OpenSymbol" w:cs="OpenSymbol"/>
    </w:rPr>
  </w:style>
  <w:style w:type="character" w:customStyle="1" w:styleId="T163">
    <w:name w:val="T163"/>
    <w:rPr>
      <w:rFonts w:ascii="OpenSymbol" w:eastAsia="OpenSymbol" w:hAnsi="OpenSymbol" w:cs="OpenSymbol"/>
    </w:rPr>
  </w:style>
  <w:style w:type="character" w:customStyle="1" w:styleId="T164">
    <w:name w:val="T164"/>
    <w:rPr>
      <w:rFonts w:ascii="OpenSymbol" w:eastAsia="OpenSymbol" w:hAnsi="OpenSymbol" w:cs="OpenSymbol"/>
    </w:rPr>
  </w:style>
  <w:style w:type="character" w:customStyle="1" w:styleId="T165">
    <w:name w:val="T165"/>
    <w:rPr>
      <w:rFonts w:ascii="OpenSymbol" w:eastAsia="OpenSymbol" w:hAnsi="OpenSymbol" w:cs="OpenSymbol"/>
    </w:rPr>
  </w:style>
  <w:style w:type="character" w:customStyle="1" w:styleId="T166">
    <w:name w:val="T166"/>
    <w:rPr>
      <w:rFonts w:ascii="OpenSymbol" w:eastAsia="OpenSymbol" w:hAnsi="OpenSymbol" w:cs="OpenSymbol"/>
    </w:rPr>
  </w:style>
  <w:style w:type="character" w:customStyle="1" w:styleId="T167">
    <w:name w:val="T167"/>
    <w:rPr>
      <w:rFonts w:ascii="OpenSymbol" w:eastAsia="OpenSymbol" w:hAnsi="OpenSymbol" w:cs="OpenSymbol"/>
    </w:rPr>
  </w:style>
  <w:style w:type="character" w:customStyle="1" w:styleId="T168">
    <w:name w:val="T168"/>
    <w:rPr>
      <w:rFonts w:ascii="OpenSymbol" w:eastAsia="OpenSymbol" w:hAnsi="OpenSymbol" w:cs="OpenSymbol"/>
    </w:rPr>
  </w:style>
  <w:style w:type="character" w:customStyle="1" w:styleId="T169">
    <w:name w:val="T169"/>
    <w:rPr>
      <w:rFonts w:ascii="OpenSymbol" w:eastAsia="OpenSymbol" w:hAnsi="OpenSymbol" w:cs="OpenSymbol"/>
    </w:rPr>
  </w:style>
  <w:style w:type="character" w:customStyle="1" w:styleId="T170">
    <w:name w:val="T170"/>
    <w:rPr>
      <w:rFonts w:ascii="OpenSymbol" w:eastAsia="OpenSymbol" w:hAnsi="OpenSymbol" w:cs="OpenSymbol"/>
    </w:rPr>
  </w:style>
  <w:style w:type="character" w:customStyle="1" w:styleId="T171">
    <w:name w:val="T171"/>
    <w:rPr>
      <w:rFonts w:ascii="OpenSymbol" w:eastAsia="OpenSymbol" w:hAnsi="OpenSymbol" w:cs="OpenSymbol"/>
    </w:rPr>
  </w:style>
  <w:style w:type="character" w:customStyle="1" w:styleId="T172">
    <w:name w:val="T172"/>
    <w:rPr>
      <w:rFonts w:ascii="OpenSymbol" w:eastAsia="OpenSymbol" w:hAnsi="OpenSymbol" w:cs="OpenSymbol"/>
    </w:rPr>
  </w:style>
  <w:style w:type="character" w:customStyle="1" w:styleId="T173">
    <w:name w:val="T173"/>
    <w:rPr>
      <w:rFonts w:ascii="OpenSymbol" w:eastAsia="OpenSymbol" w:hAnsi="OpenSymbol" w:cs="OpenSymbol"/>
    </w:rPr>
  </w:style>
  <w:style w:type="character" w:customStyle="1" w:styleId="T174">
    <w:name w:val="T174"/>
    <w:rPr>
      <w:rFonts w:ascii="OpenSymbol" w:eastAsia="OpenSymbol" w:hAnsi="OpenSymbol" w:cs="OpenSymbol"/>
    </w:rPr>
  </w:style>
  <w:style w:type="character" w:customStyle="1" w:styleId="T175">
    <w:name w:val="T175"/>
    <w:rPr>
      <w:rFonts w:ascii="OpenSymbol" w:eastAsia="OpenSymbol" w:hAnsi="OpenSymbol" w:cs="OpenSymbol"/>
    </w:rPr>
  </w:style>
  <w:style w:type="character" w:customStyle="1" w:styleId="T176">
    <w:name w:val="T176"/>
    <w:rPr>
      <w:rFonts w:ascii="OpenSymbol" w:eastAsia="OpenSymbol" w:hAnsi="OpenSymbol" w:cs="OpenSymbol"/>
    </w:rPr>
  </w:style>
  <w:style w:type="character" w:customStyle="1" w:styleId="T177">
    <w:name w:val="T177"/>
    <w:rPr>
      <w:rFonts w:ascii="OpenSymbol" w:eastAsia="OpenSymbol" w:hAnsi="OpenSymbol" w:cs="OpenSymbol"/>
    </w:rPr>
  </w:style>
  <w:style w:type="character" w:customStyle="1" w:styleId="T178">
    <w:name w:val="T178"/>
    <w:rPr>
      <w:rFonts w:ascii="OpenSymbol" w:eastAsia="OpenSymbol" w:hAnsi="OpenSymbol" w:cs="OpenSymbol"/>
    </w:rPr>
  </w:style>
  <w:style w:type="character" w:customStyle="1" w:styleId="T179">
    <w:name w:val="T179"/>
    <w:rPr>
      <w:rFonts w:ascii="OpenSymbol" w:eastAsia="OpenSymbol" w:hAnsi="OpenSymbol" w:cs="OpenSymbol"/>
    </w:rPr>
  </w:style>
  <w:style w:type="character" w:customStyle="1" w:styleId="T180">
    <w:name w:val="T180"/>
    <w:rPr>
      <w:rFonts w:ascii="OpenSymbol" w:eastAsia="OpenSymbol" w:hAnsi="OpenSymbol" w:cs="OpenSymbol"/>
    </w:rPr>
  </w:style>
  <w:style w:type="character" w:customStyle="1" w:styleId="T181">
    <w:name w:val="T181"/>
    <w:rPr>
      <w:rFonts w:ascii="OpenSymbol" w:eastAsia="OpenSymbol" w:hAnsi="OpenSymbol" w:cs="OpenSymbol"/>
    </w:rPr>
  </w:style>
  <w:style w:type="character" w:customStyle="1" w:styleId="T182">
    <w:name w:val="T182"/>
    <w:rPr>
      <w:rFonts w:ascii="OpenSymbol" w:eastAsia="OpenSymbol" w:hAnsi="OpenSymbol" w:cs="OpenSymbol"/>
    </w:rPr>
  </w:style>
  <w:style w:type="character" w:customStyle="1" w:styleId="T183">
    <w:name w:val="T183"/>
    <w:rPr>
      <w:rFonts w:ascii="OpenSymbol" w:eastAsia="OpenSymbol" w:hAnsi="OpenSymbol" w:cs="OpenSymbol"/>
    </w:rPr>
  </w:style>
  <w:style w:type="character" w:customStyle="1" w:styleId="T184">
    <w:name w:val="T184"/>
    <w:rPr>
      <w:rFonts w:ascii="OpenSymbol" w:eastAsia="OpenSymbol" w:hAnsi="OpenSymbol" w:cs="OpenSymbol"/>
    </w:rPr>
  </w:style>
  <w:style w:type="character" w:customStyle="1" w:styleId="T185">
    <w:name w:val="T185"/>
    <w:rPr>
      <w:rFonts w:ascii="OpenSymbol" w:eastAsia="OpenSymbol" w:hAnsi="OpenSymbol" w:cs="OpenSymbol"/>
    </w:rPr>
  </w:style>
  <w:style w:type="character" w:customStyle="1" w:styleId="T186">
    <w:name w:val="T186"/>
    <w:rPr>
      <w:rFonts w:ascii="OpenSymbol" w:eastAsia="OpenSymbol" w:hAnsi="OpenSymbol" w:cs="OpenSymbol"/>
    </w:rPr>
  </w:style>
  <w:style w:type="character" w:customStyle="1" w:styleId="T187">
    <w:name w:val="T187"/>
    <w:rPr>
      <w:rFonts w:ascii="OpenSymbol" w:eastAsia="OpenSymbol" w:hAnsi="OpenSymbol" w:cs="OpenSymbol"/>
    </w:rPr>
  </w:style>
  <w:style w:type="character" w:customStyle="1" w:styleId="T188">
    <w:name w:val="T188"/>
    <w:rPr>
      <w:rFonts w:ascii="OpenSymbol" w:eastAsia="OpenSymbol" w:hAnsi="OpenSymbol" w:cs="OpenSymbol"/>
    </w:rPr>
  </w:style>
  <w:style w:type="character" w:customStyle="1" w:styleId="T189">
    <w:name w:val="T189"/>
    <w:rPr>
      <w:rFonts w:ascii="OpenSymbol" w:eastAsia="OpenSymbol" w:hAnsi="OpenSymbol" w:cs="OpenSymbol"/>
    </w:rPr>
  </w:style>
  <w:style w:type="character" w:customStyle="1" w:styleId="T190">
    <w:name w:val="T190"/>
    <w:rPr>
      <w:rFonts w:ascii="OpenSymbol" w:eastAsia="OpenSymbol" w:hAnsi="OpenSymbol" w:cs="OpenSymbol"/>
    </w:rPr>
  </w:style>
  <w:style w:type="character" w:customStyle="1" w:styleId="T191">
    <w:name w:val="T191"/>
    <w:rPr>
      <w:rFonts w:ascii="OpenSymbol" w:eastAsia="OpenSymbol" w:hAnsi="OpenSymbol" w:cs="OpenSymbol"/>
    </w:rPr>
  </w:style>
  <w:style w:type="character" w:customStyle="1" w:styleId="T192">
    <w:name w:val="T192"/>
    <w:rPr>
      <w:rFonts w:ascii="OpenSymbol" w:eastAsia="OpenSymbol" w:hAnsi="OpenSymbol" w:cs="OpenSymbol"/>
    </w:rPr>
  </w:style>
  <w:style w:type="character" w:customStyle="1" w:styleId="T193">
    <w:name w:val="T193"/>
    <w:rPr>
      <w:rFonts w:ascii="OpenSymbol" w:eastAsia="OpenSymbol" w:hAnsi="OpenSymbol" w:cs="OpenSymbol"/>
    </w:rPr>
  </w:style>
  <w:style w:type="character" w:customStyle="1" w:styleId="T194">
    <w:name w:val="T194"/>
    <w:rPr>
      <w:rFonts w:ascii="OpenSymbol" w:eastAsia="OpenSymbol" w:hAnsi="OpenSymbol" w:cs="OpenSymbol"/>
    </w:rPr>
  </w:style>
  <w:style w:type="character" w:customStyle="1" w:styleId="T195">
    <w:name w:val="T195"/>
    <w:rPr>
      <w:rFonts w:ascii="OpenSymbol" w:eastAsia="OpenSymbol" w:hAnsi="OpenSymbol" w:cs="OpenSymbol"/>
    </w:rPr>
  </w:style>
  <w:style w:type="character" w:customStyle="1" w:styleId="T196">
    <w:name w:val="T196"/>
    <w:rPr>
      <w:rFonts w:ascii="OpenSymbol" w:eastAsia="OpenSymbol" w:hAnsi="OpenSymbol" w:cs="OpenSymbol"/>
    </w:rPr>
  </w:style>
  <w:style w:type="character" w:customStyle="1" w:styleId="T197">
    <w:name w:val="T197"/>
    <w:rPr>
      <w:rFonts w:ascii="OpenSymbol" w:eastAsia="OpenSymbol" w:hAnsi="OpenSymbol" w:cs="OpenSymbol"/>
    </w:rPr>
  </w:style>
  <w:style w:type="character" w:customStyle="1" w:styleId="T198">
    <w:name w:val="T198"/>
    <w:rPr>
      <w:rFonts w:ascii="OpenSymbol" w:eastAsia="OpenSymbol" w:hAnsi="OpenSymbol" w:cs="OpenSymbol"/>
    </w:rPr>
  </w:style>
  <w:style w:type="character" w:customStyle="1" w:styleId="T199">
    <w:name w:val="T199"/>
    <w:rPr>
      <w:rFonts w:ascii="OpenSymbol" w:eastAsia="OpenSymbol" w:hAnsi="OpenSymbol" w:cs="OpenSymbol"/>
    </w:rPr>
  </w:style>
  <w:style w:type="character" w:customStyle="1" w:styleId="T200">
    <w:name w:val="T200"/>
    <w:rPr>
      <w:rFonts w:ascii="OpenSymbol" w:eastAsia="OpenSymbol" w:hAnsi="OpenSymbol" w:cs="OpenSymbol"/>
    </w:rPr>
  </w:style>
  <w:style w:type="character" w:customStyle="1" w:styleId="T201">
    <w:name w:val="T201"/>
    <w:rPr>
      <w:rFonts w:ascii="OpenSymbol" w:eastAsia="OpenSymbol" w:hAnsi="OpenSymbol" w:cs="OpenSymbol"/>
    </w:rPr>
  </w:style>
  <w:style w:type="character" w:customStyle="1" w:styleId="T202">
    <w:name w:val="T202"/>
    <w:rPr>
      <w:rFonts w:ascii="OpenSymbol" w:eastAsia="OpenSymbol" w:hAnsi="OpenSymbol" w:cs="OpenSymbol"/>
    </w:rPr>
  </w:style>
  <w:style w:type="character" w:customStyle="1" w:styleId="T203">
    <w:name w:val="T203"/>
    <w:rPr>
      <w:rFonts w:ascii="OpenSymbol" w:eastAsia="OpenSymbol" w:hAnsi="OpenSymbol" w:cs="OpenSymbol"/>
    </w:rPr>
  </w:style>
  <w:style w:type="character" w:customStyle="1" w:styleId="T204">
    <w:name w:val="T204"/>
    <w:rPr>
      <w:rFonts w:ascii="OpenSymbol" w:eastAsia="OpenSymbol" w:hAnsi="OpenSymbol" w:cs="OpenSymbol"/>
    </w:rPr>
  </w:style>
  <w:style w:type="character" w:customStyle="1" w:styleId="T205">
    <w:name w:val="T205"/>
    <w:rPr>
      <w:rFonts w:ascii="OpenSymbol" w:eastAsia="OpenSymbol" w:hAnsi="OpenSymbol" w:cs="OpenSymbol"/>
    </w:rPr>
  </w:style>
  <w:style w:type="character" w:customStyle="1" w:styleId="T206">
    <w:name w:val="T206"/>
    <w:rPr>
      <w:rFonts w:ascii="OpenSymbol" w:eastAsia="OpenSymbol" w:hAnsi="OpenSymbol" w:cs="OpenSymbol"/>
    </w:rPr>
  </w:style>
  <w:style w:type="character" w:customStyle="1" w:styleId="T207">
    <w:name w:val="T207"/>
    <w:rPr>
      <w:rFonts w:ascii="OpenSymbol" w:eastAsia="OpenSymbol" w:hAnsi="OpenSymbol" w:cs="OpenSymbol"/>
    </w:rPr>
  </w:style>
  <w:style w:type="character" w:customStyle="1" w:styleId="T208">
    <w:name w:val="T208"/>
    <w:rPr>
      <w:rFonts w:ascii="OpenSymbol" w:eastAsia="OpenSymbol" w:hAnsi="OpenSymbol" w:cs="OpenSymbol"/>
    </w:rPr>
  </w:style>
  <w:style w:type="character" w:customStyle="1" w:styleId="T209">
    <w:name w:val="T209"/>
    <w:rPr>
      <w:rFonts w:ascii="OpenSymbol" w:eastAsia="OpenSymbol" w:hAnsi="OpenSymbol" w:cs="OpenSymbol"/>
    </w:rPr>
  </w:style>
  <w:style w:type="character" w:customStyle="1" w:styleId="T210">
    <w:name w:val="T210"/>
    <w:rPr>
      <w:rFonts w:ascii="OpenSymbol" w:eastAsia="OpenSymbol" w:hAnsi="OpenSymbol" w:cs="OpenSymbol"/>
    </w:rPr>
  </w:style>
  <w:style w:type="character" w:customStyle="1" w:styleId="T211">
    <w:name w:val="T211"/>
    <w:rPr>
      <w:rFonts w:ascii="OpenSymbol" w:eastAsia="OpenSymbol" w:hAnsi="OpenSymbol" w:cs="OpenSymbol"/>
    </w:rPr>
  </w:style>
  <w:style w:type="character" w:customStyle="1" w:styleId="T212">
    <w:name w:val="T212"/>
    <w:rPr>
      <w:rFonts w:ascii="OpenSymbol" w:eastAsia="OpenSymbol" w:hAnsi="OpenSymbol" w:cs="OpenSymbol"/>
    </w:rPr>
  </w:style>
  <w:style w:type="character" w:customStyle="1" w:styleId="T213">
    <w:name w:val="T213"/>
    <w:rPr>
      <w:rFonts w:ascii="OpenSymbol" w:eastAsia="OpenSymbol" w:hAnsi="OpenSymbol" w:cs="OpenSymbol"/>
    </w:rPr>
  </w:style>
  <w:style w:type="character" w:customStyle="1" w:styleId="T214">
    <w:name w:val="T214"/>
    <w:rPr>
      <w:rFonts w:ascii="OpenSymbol" w:eastAsia="OpenSymbol" w:hAnsi="OpenSymbol" w:cs="OpenSymbol"/>
    </w:rPr>
  </w:style>
  <w:style w:type="character" w:customStyle="1" w:styleId="T215">
    <w:name w:val="T215"/>
    <w:rPr>
      <w:rFonts w:ascii="OpenSymbol" w:eastAsia="OpenSymbol" w:hAnsi="OpenSymbol" w:cs="OpenSymbol"/>
    </w:rPr>
  </w:style>
  <w:style w:type="character" w:customStyle="1" w:styleId="T216">
    <w:name w:val="T216"/>
    <w:rPr>
      <w:rFonts w:ascii="OpenSymbol" w:eastAsia="OpenSymbol" w:hAnsi="OpenSymbol" w:cs="OpenSymbol"/>
    </w:rPr>
  </w:style>
  <w:style w:type="character" w:customStyle="1" w:styleId="T217">
    <w:name w:val="T217"/>
    <w:rPr>
      <w:rFonts w:ascii="OpenSymbol" w:eastAsia="OpenSymbol" w:hAnsi="OpenSymbol" w:cs="OpenSymbol"/>
    </w:rPr>
  </w:style>
  <w:style w:type="character" w:customStyle="1" w:styleId="T218">
    <w:name w:val="T218"/>
    <w:rPr>
      <w:rFonts w:ascii="OpenSymbol" w:eastAsia="OpenSymbol" w:hAnsi="OpenSymbol" w:cs="OpenSymbol"/>
    </w:rPr>
  </w:style>
  <w:style w:type="character" w:customStyle="1" w:styleId="T219">
    <w:name w:val="T219"/>
    <w:rPr>
      <w:rFonts w:ascii="OpenSymbol" w:eastAsia="OpenSymbol" w:hAnsi="OpenSymbol" w:cs="OpenSymbol"/>
    </w:rPr>
  </w:style>
  <w:style w:type="character" w:customStyle="1" w:styleId="T220">
    <w:name w:val="T220"/>
    <w:rPr>
      <w:rFonts w:ascii="OpenSymbol" w:eastAsia="OpenSymbol" w:hAnsi="OpenSymbol" w:cs="OpenSymbol"/>
    </w:rPr>
  </w:style>
  <w:style w:type="character" w:customStyle="1" w:styleId="T221">
    <w:name w:val="T221"/>
    <w:rPr>
      <w:rFonts w:ascii="OpenSymbol" w:eastAsia="OpenSymbol" w:hAnsi="OpenSymbol" w:cs="OpenSymbol"/>
    </w:rPr>
  </w:style>
  <w:style w:type="character" w:customStyle="1" w:styleId="T222">
    <w:name w:val="T222"/>
    <w:rPr>
      <w:rFonts w:ascii="OpenSymbol" w:eastAsia="OpenSymbol" w:hAnsi="OpenSymbol" w:cs="OpenSymbol"/>
    </w:rPr>
  </w:style>
  <w:style w:type="character" w:customStyle="1" w:styleId="T223">
    <w:name w:val="T223"/>
    <w:rPr>
      <w:rFonts w:ascii="OpenSymbol" w:eastAsia="OpenSymbol" w:hAnsi="OpenSymbol" w:cs="OpenSymbol"/>
    </w:rPr>
  </w:style>
  <w:style w:type="character" w:customStyle="1" w:styleId="T224">
    <w:name w:val="T224"/>
    <w:rPr>
      <w:rFonts w:ascii="OpenSymbol" w:eastAsia="OpenSymbol" w:hAnsi="OpenSymbol" w:cs="OpenSymbol"/>
    </w:rPr>
  </w:style>
  <w:style w:type="character" w:customStyle="1" w:styleId="T225">
    <w:name w:val="T225"/>
    <w:rPr>
      <w:rFonts w:ascii="OpenSymbol" w:eastAsia="OpenSymbol" w:hAnsi="OpenSymbol" w:cs="OpenSymbol"/>
    </w:rPr>
  </w:style>
  <w:style w:type="character" w:customStyle="1" w:styleId="T226">
    <w:name w:val="T226"/>
    <w:rPr>
      <w:rFonts w:ascii="Symbol" w:eastAsia="Symbol" w:hAnsi="Symbol" w:cs="Symbol"/>
    </w:rPr>
  </w:style>
  <w:style w:type="character" w:customStyle="1" w:styleId="T227">
    <w:name w:val="T227"/>
    <w:rPr>
      <w:rFonts w:ascii="Courier New" w:eastAsia="Courier New" w:hAnsi="Courier New" w:cs="Courier New"/>
    </w:rPr>
  </w:style>
  <w:style w:type="character" w:customStyle="1" w:styleId="T228">
    <w:name w:val="T228"/>
    <w:rPr>
      <w:rFonts w:ascii="Wingdings" w:eastAsia="Wingdings" w:hAnsi="Wingdings" w:cs="Wingdings"/>
    </w:rPr>
  </w:style>
  <w:style w:type="character" w:customStyle="1" w:styleId="T229">
    <w:name w:val="T229"/>
    <w:rPr>
      <w:rFonts w:ascii="Symbol" w:eastAsia="Symbol" w:hAnsi="Symbol" w:cs="Symbol"/>
    </w:rPr>
  </w:style>
  <w:style w:type="character" w:customStyle="1" w:styleId="T230">
    <w:name w:val="T230"/>
    <w:rPr>
      <w:rFonts w:ascii="Courier New" w:eastAsia="Courier New" w:hAnsi="Courier New" w:cs="Courier New"/>
    </w:rPr>
  </w:style>
  <w:style w:type="character" w:customStyle="1" w:styleId="T231">
    <w:name w:val="T231"/>
    <w:rPr>
      <w:rFonts w:ascii="Wingdings" w:eastAsia="Wingdings" w:hAnsi="Wingdings" w:cs="Wingdings"/>
    </w:rPr>
  </w:style>
  <w:style w:type="character" w:customStyle="1" w:styleId="T232">
    <w:name w:val="T232"/>
    <w:rPr>
      <w:rFonts w:ascii="Symbol" w:eastAsia="Symbol" w:hAnsi="Symbol" w:cs="Symbol"/>
    </w:rPr>
  </w:style>
  <w:style w:type="character" w:customStyle="1" w:styleId="T233">
    <w:name w:val="T233"/>
    <w:rPr>
      <w:rFonts w:ascii="Courier New" w:eastAsia="Courier New" w:hAnsi="Courier New" w:cs="Courier New"/>
    </w:rPr>
  </w:style>
  <w:style w:type="character" w:customStyle="1" w:styleId="T234">
    <w:name w:val="T234"/>
    <w:rPr>
      <w:rFonts w:ascii="Wingdings" w:eastAsia="Wingdings" w:hAnsi="Wingdings" w:cs="Wingdings"/>
    </w:rPr>
  </w:style>
  <w:style w:type="character" w:customStyle="1" w:styleId="T235">
    <w:name w:val="T235"/>
    <w:rPr>
      <w:rFonts w:ascii="OpenSymbol" w:eastAsia="OpenSymbol" w:hAnsi="OpenSymbol" w:cs="OpenSymbol"/>
    </w:rPr>
  </w:style>
  <w:style w:type="character" w:customStyle="1" w:styleId="T236">
    <w:name w:val="T236"/>
    <w:rPr>
      <w:rFonts w:ascii="OpenSymbol" w:eastAsia="OpenSymbol" w:hAnsi="OpenSymbol" w:cs="OpenSymbol"/>
    </w:rPr>
  </w:style>
  <w:style w:type="character" w:customStyle="1" w:styleId="T237">
    <w:name w:val="T237"/>
    <w:rPr>
      <w:rFonts w:ascii="OpenSymbol" w:eastAsia="OpenSymbol" w:hAnsi="OpenSymbol" w:cs="OpenSymbol"/>
    </w:rPr>
  </w:style>
  <w:style w:type="character" w:customStyle="1" w:styleId="T238">
    <w:name w:val="T238"/>
    <w:rPr>
      <w:rFonts w:ascii="OpenSymbol" w:eastAsia="OpenSymbol" w:hAnsi="OpenSymbol" w:cs="OpenSymbol"/>
    </w:rPr>
  </w:style>
  <w:style w:type="character" w:customStyle="1" w:styleId="T239">
    <w:name w:val="T239"/>
    <w:rPr>
      <w:rFonts w:ascii="OpenSymbol" w:eastAsia="OpenSymbol" w:hAnsi="OpenSymbol" w:cs="OpenSymbol"/>
    </w:rPr>
  </w:style>
  <w:style w:type="character" w:customStyle="1" w:styleId="T240">
    <w:name w:val="T240"/>
    <w:rPr>
      <w:rFonts w:ascii="OpenSymbol" w:eastAsia="OpenSymbol" w:hAnsi="OpenSymbol" w:cs="OpenSymbol"/>
    </w:rPr>
  </w:style>
  <w:style w:type="character" w:customStyle="1" w:styleId="T241">
    <w:name w:val="T241"/>
    <w:rPr>
      <w:rFonts w:ascii="OpenSymbol" w:eastAsia="OpenSymbol" w:hAnsi="OpenSymbol" w:cs="OpenSymbol"/>
    </w:rPr>
  </w:style>
  <w:style w:type="character" w:customStyle="1" w:styleId="T242">
    <w:name w:val="T242"/>
    <w:rPr>
      <w:rFonts w:ascii="OpenSymbol" w:eastAsia="OpenSymbol" w:hAnsi="OpenSymbol" w:cs="OpenSymbol"/>
    </w:rPr>
  </w:style>
  <w:style w:type="character" w:customStyle="1" w:styleId="T243">
    <w:name w:val="T243"/>
    <w:rPr>
      <w:rFonts w:ascii="OpenSymbol" w:eastAsia="OpenSymbol" w:hAnsi="OpenSymbol" w:cs="OpenSymbol"/>
    </w:rPr>
  </w:style>
  <w:style w:type="character" w:customStyle="1" w:styleId="T244">
    <w:name w:val="T244"/>
    <w:rPr>
      <w:rFonts w:ascii="OpenSymbol" w:eastAsia="OpenSymbol" w:hAnsi="OpenSymbol" w:cs="OpenSymbol"/>
    </w:rPr>
  </w:style>
  <w:style w:type="character" w:customStyle="1" w:styleId="T245">
    <w:name w:val="T245"/>
    <w:rPr>
      <w:rFonts w:ascii="OpenSymbol" w:eastAsia="OpenSymbol" w:hAnsi="OpenSymbol" w:cs="OpenSymbol"/>
    </w:rPr>
  </w:style>
  <w:style w:type="character" w:customStyle="1" w:styleId="T246">
    <w:name w:val="T246"/>
    <w:rPr>
      <w:rFonts w:ascii="OpenSymbol" w:eastAsia="OpenSymbol" w:hAnsi="OpenSymbol" w:cs="OpenSymbol"/>
    </w:rPr>
  </w:style>
  <w:style w:type="character" w:customStyle="1" w:styleId="T247">
    <w:name w:val="T247"/>
    <w:rPr>
      <w:rFonts w:ascii="OpenSymbol" w:eastAsia="OpenSymbol" w:hAnsi="OpenSymbol" w:cs="OpenSymbol"/>
    </w:rPr>
  </w:style>
  <w:style w:type="character" w:customStyle="1" w:styleId="T248">
    <w:name w:val="T248"/>
    <w:rPr>
      <w:rFonts w:ascii="OpenSymbol" w:eastAsia="OpenSymbol" w:hAnsi="OpenSymbol" w:cs="OpenSymbol"/>
    </w:rPr>
  </w:style>
  <w:style w:type="character" w:customStyle="1" w:styleId="T249">
    <w:name w:val="T249"/>
    <w:rPr>
      <w:rFonts w:ascii="OpenSymbol" w:eastAsia="OpenSymbol" w:hAnsi="OpenSymbol" w:cs="OpenSymbol"/>
    </w:rPr>
  </w:style>
  <w:style w:type="character" w:customStyle="1" w:styleId="T250">
    <w:name w:val="T250"/>
    <w:rPr>
      <w:rFonts w:ascii="OpenSymbol" w:eastAsia="OpenSymbol" w:hAnsi="OpenSymbol" w:cs="OpenSymbol"/>
    </w:rPr>
  </w:style>
  <w:style w:type="character" w:customStyle="1" w:styleId="T251">
    <w:name w:val="T251"/>
    <w:rPr>
      <w:rFonts w:ascii="OpenSymbol" w:eastAsia="OpenSymbol" w:hAnsi="OpenSymbol" w:cs="OpenSymbol"/>
    </w:rPr>
  </w:style>
  <w:style w:type="character" w:customStyle="1" w:styleId="T252">
    <w:name w:val="T252"/>
    <w:rPr>
      <w:rFonts w:ascii="OpenSymbol" w:eastAsia="OpenSymbol" w:hAnsi="OpenSymbol" w:cs="OpenSymbol"/>
    </w:rPr>
  </w:style>
  <w:style w:type="character" w:customStyle="1" w:styleId="T253">
    <w:name w:val="T253"/>
    <w:rPr>
      <w:rFonts w:ascii="OpenSymbol" w:eastAsia="OpenSymbol" w:hAnsi="OpenSymbol" w:cs="OpenSymbol"/>
    </w:rPr>
  </w:style>
  <w:style w:type="character" w:customStyle="1" w:styleId="T254">
    <w:name w:val="T254"/>
    <w:rPr>
      <w:rFonts w:ascii="OpenSymbol" w:eastAsia="OpenSymbol" w:hAnsi="OpenSymbol" w:cs="OpenSymbol"/>
    </w:rPr>
  </w:style>
  <w:style w:type="character" w:customStyle="1" w:styleId="T255">
    <w:name w:val="T255"/>
    <w:rPr>
      <w:rFonts w:ascii="OpenSymbol" w:eastAsia="OpenSymbol" w:hAnsi="OpenSymbol" w:cs="OpenSymbol"/>
    </w:rPr>
  </w:style>
  <w:style w:type="character" w:customStyle="1" w:styleId="T256">
    <w:name w:val="T256"/>
    <w:rPr>
      <w:rFonts w:ascii="OpenSymbol" w:eastAsia="OpenSymbol" w:hAnsi="OpenSymbol" w:cs="OpenSymbol"/>
    </w:rPr>
  </w:style>
  <w:style w:type="character" w:customStyle="1" w:styleId="T257">
    <w:name w:val="T257"/>
    <w:rPr>
      <w:rFonts w:ascii="OpenSymbol" w:eastAsia="OpenSymbol" w:hAnsi="OpenSymbol" w:cs="OpenSymbol"/>
    </w:rPr>
  </w:style>
  <w:style w:type="character" w:customStyle="1" w:styleId="T258">
    <w:name w:val="T258"/>
    <w:rPr>
      <w:rFonts w:ascii="OpenSymbol" w:eastAsia="OpenSymbol" w:hAnsi="OpenSymbol" w:cs="OpenSymbol"/>
    </w:rPr>
  </w:style>
  <w:style w:type="character" w:customStyle="1" w:styleId="T259">
    <w:name w:val="T259"/>
    <w:rPr>
      <w:rFonts w:ascii="OpenSymbol" w:eastAsia="OpenSymbol" w:hAnsi="OpenSymbol" w:cs="OpenSymbol"/>
    </w:rPr>
  </w:style>
  <w:style w:type="character" w:customStyle="1" w:styleId="T260">
    <w:name w:val="T260"/>
    <w:rPr>
      <w:rFonts w:ascii="OpenSymbol" w:eastAsia="OpenSymbol" w:hAnsi="OpenSymbol" w:cs="OpenSymbol"/>
    </w:rPr>
  </w:style>
  <w:style w:type="character" w:customStyle="1" w:styleId="T261">
    <w:name w:val="T261"/>
    <w:rPr>
      <w:rFonts w:ascii="OpenSymbol" w:eastAsia="OpenSymbol" w:hAnsi="OpenSymbol" w:cs="OpenSymbol"/>
    </w:rPr>
  </w:style>
  <w:style w:type="paragraph" w:customStyle="1" w:styleId="Style1">
    <w:name w:val="Style1"/>
    <w:basedOn w:val="Titre2"/>
    <w:pPr>
      <w:numPr>
        <w:ilvl w:val="0"/>
        <w:numId w:val="0"/>
      </w:numPr>
    </w:pPr>
    <w:rPr>
      <w:lang w:val="fr-FR"/>
    </w:rPr>
  </w:style>
  <w:style w:type="paragraph" w:customStyle="1" w:styleId="Style2">
    <w:name w:val="Style2"/>
    <w:basedOn w:val="Titre2"/>
    <w:autoRedefine/>
    <w:pPr>
      <w:numPr>
        <w:ilvl w:val="0"/>
        <w:numId w:val="59"/>
      </w:numPr>
    </w:pPr>
  </w:style>
  <w:style w:type="character" w:customStyle="1" w:styleId="Titre2Car">
    <w:name w:val="Titre 2 Car"/>
    <w:basedOn w:val="Policepardfaut"/>
    <w:rPr>
      <w:rFonts w:ascii="Calibri Light" w:eastAsia="Calibri Light" w:hAnsi="Calibri Light" w:cs="Calibri Light"/>
      <w:color w:val="2F5496"/>
      <w:sz w:val="26"/>
    </w:rPr>
  </w:style>
  <w:style w:type="character" w:customStyle="1" w:styleId="Style1Car">
    <w:name w:val="Style1 Car"/>
    <w:basedOn w:val="Titre2Car"/>
    <w:rPr>
      <w:rFonts w:ascii="Calibri Light" w:eastAsia="Calibri Light" w:hAnsi="Calibri Light" w:cs="Calibri Light"/>
      <w:color w:val="2F5496"/>
      <w:sz w:val="26"/>
      <w:lang w:val="fr-FR"/>
    </w:rPr>
  </w:style>
  <w:style w:type="character" w:customStyle="1" w:styleId="Style2Car">
    <w:name w:val="Style2 Car"/>
    <w:basedOn w:val="Titre2Car"/>
    <w:rPr>
      <w:rFonts w:ascii="Calibri Light" w:eastAsia="Calibri Light" w:hAnsi="Calibri Light" w:cs="Calibri Light"/>
      <w:color w:val="2F5496"/>
      <w:sz w:val="26"/>
    </w:rPr>
  </w:style>
  <w:style w:type="numbering" w:customStyle="1" w:styleId="WWOutlineListStyle6">
    <w:name w:val="WW_OutlineListStyle_6"/>
    <w:basedOn w:val="Aucuneliste"/>
    <w:pPr>
      <w:numPr>
        <w:numId w:val="2"/>
      </w:numPr>
    </w:pPr>
  </w:style>
  <w:style w:type="numbering" w:customStyle="1" w:styleId="WWOutlineListStyle5">
    <w:name w:val="WW_OutlineListStyle_5"/>
    <w:basedOn w:val="Aucuneliste"/>
    <w:pPr>
      <w:numPr>
        <w:numId w:val="3"/>
      </w:numPr>
    </w:pPr>
  </w:style>
  <w:style w:type="numbering" w:customStyle="1" w:styleId="WWOutlineListStyle4">
    <w:name w:val="WW_OutlineListStyle_4"/>
    <w:basedOn w:val="Aucuneliste"/>
    <w:pPr>
      <w:numPr>
        <w:numId w:val="4"/>
      </w:numPr>
    </w:pPr>
  </w:style>
  <w:style w:type="numbering" w:customStyle="1" w:styleId="WWOutlineListStyle3">
    <w:name w:val="WW_OutlineListStyle_3"/>
    <w:basedOn w:val="Aucuneliste"/>
    <w:pPr>
      <w:numPr>
        <w:numId w:val="5"/>
      </w:numPr>
    </w:pPr>
  </w:style>
  <w:style w:type="numbering" w:customStyle="1" w:styleId="WWOutlineListStyle2">
    <w:name w:val="WW_OutlineListStyle_2"/>
    <w:basedOn w:val="Aucuneliste"/>
    <w:pPr>
      <w:numPr>
        <w:numId w:val="6"/>
      </w:numPr>
    </w:pPr>
  </w:style>
  <w:style w:type="numbering" w:customStyle="1" w:styleId="WWOutlineListStyle1">
    <w:name w:val="WW_OutlineListStyle_1"/>
    <w:basedOn w:val="Aucuneliste"/>
    <w:pPr>
      <w:numPr>
        <w:numId w:val="7"/>
      </w:numPr>
    </w:pPr>
  </w:style>
  <w:style w:type="numbering" w:customStyle="1" w:styleId="WWOutlineListStyle">
    <w:name w:val="WW_OutlineListStyle"/>
    <w:basedOn w:val="Aucuneliste"/>
    <w:pPr>
      <w:numPr>
        <w:numId w:val="8"/>
      </w:numPr>
    </w:pPr>
  </w:style>
  <w:style w:type="numbering" w:customStyle="1" w:styleId="WWNum1">
    <w:name w:val="WWNum1"/>
    <w:basedOn w:val="Aucuneliste"/>
    <w:pPr>
      <w:numPr>
        <w:numId w:val="9"/>
      </w:numPr>
    </w:pPr>
  </w:style>
  <w:style w:type="numbering" w:customStyle="1" w:styleId="WWNum2">
    <w:name w:val="WWNum2"/>
    <w:basedOn w:val="Aucuneliste"/>
    <w:pPr>
      <w:numPr>
        <w:numId w:val="10"/>
      </w:numPr>
    </w:pPr>
  </w:style>
  <w:style w:type="numbering" w:customStyle="1" w:styleId="WWNum3">
    <w:name w:val="WWNum3"/>
    <w:basedOn w:val="Aucuneliste"/>
    <w:pPr>
      <w:numPr>
        <w:numId w:val="11"/>
      </w:numPr>
    </w:pPr>
  </w:style>
  <w:style w:type="numbering" w:customStyle="1" w:styleId="WWNum4">
    <w:name w:val="WWNum4"/>
    <w:basedOn w:val="Aucuneliste"/>
    <w:pPr>
      <w:numPr>
        <w:numId w:val="12"/>
      </w:numPr>
    </w:pPr>
  </w:style>
  <w:style w:type="numbering" w:customStyle="1" w:styleId="WWNum5">
    <w:name w:val="WWNum5"/>
    <w:basedOn w:val="Aucuneliste"/>
    <w:pPr>
      <w:numPr>
        <w:numId w:val="13"/>
      </w:numPr>
    </w:pPr>
  </w:style>
  <w:style w:type="numbering" w:customStyle="1" w:styleId="WWNum6">
    <w:name w:val="WWNum6"/>
    <w:basedOn w:val="Aucuneliste"/>
    <w:pPr>
      <w:numPr>
        <w:numId w:val="14"/>
      </w:numPr>
    </w:pPr>
  </w:style>
  <w:style w:type="numbering" w:customStyle="1" w:styleId="WWNum7">
    <w:name w:val="WWNum7"/>
    <w:basedOn w:val="Aucuneliste"/>
    <w:pPr>
      <w:numPr>
        <w:numId w:val="15"/>
      </w:numPr>
    </w:pPr>
  </w:style>
  <w:style w:type="numbering" w:customStyle="1" w:styleId="WWNum8">
    <w:name w:val="WWNum8"/>
    <w:basedOn w:val="Aucuneliste"/>
    <w:pPr>
      <w:numPr>
        <w:numId w:val="16"/>
      </w:numPr>
    </w:pPr>
  </w:style>
  <w:style w:type="numbering" w:customStyle="1" w:styleId="WWNum9">
    <w:name w:val="WWNum9"/>
    <w:basedOn w:val="Aucuneliste"/>
    <w:pPr>
      <w:numPr>
        <w:numId w:val="17"/>
      </w:numPr>
    </w:pPr>
  </w:style>
  <w:style w:type="numbering" w:customStyle="1" w:styleId="WWNum10">
    <w:name w:val="WWNum10"/>
    <w:basedOn w:val="Aucuneliste"/>
    <w:pPr>
      <w:numPr>
        <w:numId w:val="18"/>
      </w:numPr>
    </w:pPr>
  </w:style>
  <w:style w:type="numbering" w:customStyle="1" w:styleId="WWNum11">
    <w:name w:val="WWNum11"/>
    <w:basedOn w:val="Aucuneliste"/>
    <w:pPr>
      <w:numPr>
        <w:numId w:val="19"/>
      </w:numPr>
    </w:pPr>
  </w:style>
  <w:style w:type="numbering" w:customStyle="1" w:styleId="WWNum12">
    <w:name w:val="WWNum12"/>
    <w:basedOn w:val="Aucuneliste"/>
    <w:pPr>
      <w:numPr>
        <w:numId w:val="20"/>
      </w:numPr>
    </w:pPr>
  </w:style>
  <w:style w:type="numbering" w:customStyle="1" w:styleId="WWNum13">
    <w:name w:val="WWNum13"/>
    <w:basedOn w:val="Aucuneliste"/>
    <w:pPr>
      <w:numPr>
        <w:numId w:val="21"/>
      </w:numPr>
    </w:pPr>
  </w:style>
  <w:style w:type="numbering" w:customStyle="1" w:styleId="WWNum14">
    <w:name w:val="WWNum14"/>
    <w:basedOn w:val="Aucuneliste"/>
    <w:pPr>
      <w:numPr>
        <w:numId w:val="22"/>
      </w:numPr>
    </w:pPr>
  </w:style>
  <w:style w:type="numbering" w:customStyle="1" w:styleId="WWNum15">
    <w:name w:val="WWNum15"/>
    <w:basedOn w:val="Aucuneliste"/>
    <w:pPr>
      <w:numPr>
        <w:numId w:val="23"/>
      </w:numPr>
    </w:pPr>
  </w:style>
  <w:style w:type="numbering" w:customStyle="1" w:styleId="WWNum16">
    <w:name w:val="WWNum16"/>
    <w:basedOn w:val="Aucuneliste"/>
    <w:pPr>
      <w:numPr>
        <w:numId w:val="24"/>
      </w:numPr>
    </w:pPr>
  </w:style>
  <w:style w:type="numbering" w:customStyle="1" w:styleId="WWNum17">
    <w:name w:val="WWNum17"/>
    <w:basedOn w:val="Aucuneliste"/>
    <w:pPr>
      <w:numPr>
        <w:numId w:val="25"/>
      </w:numPr>
    </w:pPr>
  </w:style>
  <w:style w:type="numbering" w:customStyle="1" w:styleId="WWNum18">
    <w:name w:val="WWNum18"/>
    <w:basedOn w:val="Aucuneliste"/>
    <w:pPr>
      <w:numPr>
        <w:numId w:val="26"/>
      </w:numPr>
    </w:pPr>
  </w:style>
  <w:style w:type="numbering" w:customStyle="1" w:styleId="WWNum19">
    <w:name w:val="WWNum19"/>
    <w:basedOn w:val="Aucuneliste"/>
    <w:pPr>
      <w:numPr>
        <w:numId w:val="27"/>
      </w:numPr>
    </w:pPr>
  </w:style>
  <w:style w:type="numbering" w:customStyle="1" w:styleId="WWNum20">
    <w:name w:val="WWNum20"/>
    <w:basedOn w:val="Aucuneliste"/>
    <w:pPr>
      <w:numPr>
        <w:numId w:val="28"/>
      </w:numPr>
    </w:pPr>
  </w:style>
  <w:style w:type="numbering" w:customStyle="1" w:styleId="WWNum21">
    <w:name w:val="WWNum21"/>
    <w:basedOn w:val="Aucuneliste"/>
    <w:pPr>
      <w:numPr>
        <w:numId w:val="29"/>
      </w:numPr>
    </w:pPr>
  </w:style>
  <w:style w:type="numbering" w:customStyle="1" w:styleId="WWNum22">
    <w:name w:val="WWNum22"/>
    <w:basedOn w:val="Aucuneliste"/>
    <w:pPr>
      <w:numPr>
        <w:numId w:val="30"/>
      </w:numPr>
    </w:pPr>
  </w:style>
  <w:style w:type="numbering" w:customStyle="1" w:styleId="WWNum23">
    <w:name w:val="WWNum23"/>
    <w:basedOn w:val="Aucuneliste"/>
    <w:pPr>
      <w:numPr>
        <w:numId w:val="31"/>
      </w:numPr>
    </w:pPr>
  </w:style>
  <w:style w:type="numbering" w:customStyle="1" w:styleId="WWNum24">
    <w:name w:val="WWNum24"/>
    <w:basedOn w:val="Aucuneliste"/>
    <w:pPr>
      <w:numPr>
        <w:numId w:val="32"/>
      </w:numPr>
    </w:pPr>
  </w:style>
  <w:style w:type="numbering" w:customStyle="1" w:styleId="WWNum25">
    <w:name w:val="WWNum25"/>
    <w:basedOn w:val="Aucuneliste"/>
    <w:pPr>
      <w:numPr>
        <w:numId w:val="33"/>
      </w:numPr>
    </w:pPr>
  </w:style>
  <w:style w:type="numbering" w:customStyle="1" w:styleId="WWNum26">
    <w:name w:val="WWNum26"/>
    <w:basedOn w:val="Aucuneliste"/>
    <w:pPr>
      <w:numPr>
        <w:numId w:val="34"/>
      </w:numPr>
    </w:pPr>
  </w:style>
  <w:style w:type="numbering" w:customStyle="1" w:styleId="WWNum27">
    <w:name w:val="WWNum27"/>
    <w:basedOn w:val="Aucuneliste"/>
    <w:pPr>
      <w:numPr>
        <w:numId w:val="35"/>
      </w:numPr>
    </w:pPr>
  </w:style>
  <w:style w:type="numbering" w:customStyle="1" w:styleId="WWNum28">
    <w:name w:val="WWNum28"/>
    <w:basedOn w:val="Aucuneliste"/>
    <w:pPr>
      <w:numPr>
        <w:numId w:val="36"/>
      </w:numPr>
    </w:pPr>
  </w:style>
  <w:style w:type="numbering" w:customStyle="1" w:styleId="WWNum29">
    <w:name w:val="WWNum29"/>
    <w:basedOn w:val="Aucuneliste"/>
    <w:pPr>
      <w:numPr>
        <w:numId w:val="37"/>
      </w:numPr>
    </w:pPr>
  </w:style>
  <w:style w:type="numbering" w:customStyle="1" w:styleId="WWNum30">
    <w:name w:val="WWNum30"/>
    <w:basedOn w:val="Aucuneliste"/>
    <w:pPr>
      <w:numPr>
        <w:numId w:val="38"/>
      </w:numPr>
    </w:pPr>
  </w:style>
  <w:style w:type="numbering" w:customStyle="1" w:styleId="WWNum31">
    <w:name w:val="WWNum31"/>
    <w:basedOn w:val="Aucuneliste"/>
    <w:pPr>
      <w:numPr>
        <w:numId w:val="39"/>
      </w:numPr>
    </w:pPr>
  </w:style>
  <w:style w:type="numbering" w:customStyle="1" w:styleId="WWNum32">
    <w:name w:val="WWNum32"/>
    <w:basedOn w:val="Aucuneliste"/>
    <w:pPr>
      <w:numPr>
        <w:numId w:val="40"/>
      </w:numPr>
    </w:pPr>
  </w:style>
  <w:style w:type="numbering" w:customStyle="1" w:styleId="WWNum33">
    <w:name w:val="WWNum33"/>
    <w:basedOn w:val="Aucuneliste"/>
    <w:pPr>
      <w:numPr>
        <w:numId w:val="41"/>
      </w:numPr>
    </w:pPr>
  </w:style>
  <w:style w:type="numbering" w:customStyle="1" w:styleId="WWNum34">
    <w:name w:val="WWNum34"/>
    <w:basedOn w:val="Aucuneliste"/>
    <w:pPr>
      <w:numPr>
        <w:numId w:val="42"/>
      </w:numPr>
    </w:pPr>
  </w:style>
  <w:style w:type="numbering" w:customStyle="1" w:styleId="WWNum35">
    <w:name w:val="WWNum35"/>
    <w:basedOn w:val="Aucuneliste"/>
    <w:pPr>
      <w:numPr>
        <w:numId w:val="43"/>
      </w:numPr>
    </w:pPr>
  </w:style>
  <w:style w:type="numbering" w:customStyle="1" w:styleId="WWNum36">
    <w:name w:val="WWNum36"/>
    <w:basedOn w:val="Aucuneliste"/>
    <w:pPr>
      <w:numPr>
        <w:numId w:val="44"/>
      </w:numPr>
    </w:pPr>
  </w:style>
  <w:style w:type="numbering" w:customStyle="1" w:styleId="WWNum37">
    <w:name w:val="WWNum37"/>
    <w:basedOn w:val="Aucuneliste"/>
    <w:pPr>
      <w:numPr>
        <w:numId w:val="45"/>
      </w:numPr>
    </w:pPr>
  </w:style>
  <w:style w:type="numbering" w:customStyle="1" w:styleId="WWNum38">
    <w:name w:val="WWNum38"/>
    <w:basedOn w:val="Aucuneliste"/>
    <w:pPr>
      <w:numPr>
        <w:numId w:val="46"/>
      </w:numPr>
    </w:pPr>
  </w:style>
  <w:style w:type="numbering" w:customStyle="1" w:styleId="WWNum39">
    <w:name w:val="WWNum39"/>
    <w:basedOn w:val="Aucuneliste"/>
    <w:pPr>
      <w:numPr>
        <w:numId w:val="47"/>
      </w:numPr>
    </w:pPr>
  </w:style>
  <w:style w:type="numbering" w:customStyle="1" w:styleId="WWNum40">
    <w:name w:val="WWNum40"/>
    <w:basedOn w:val="Aucuneliste"/>
    <w:pPr>
      <w:numPr>
        <w:numId w:val="48"/>
      </w:numPr>
    </w:pPr>
  </w:style>
  <w:style w:type="numbering" w:customStyle="1" w:styleId="WWNum41">
    <w:name w:val="WWNum41"/>
    <w:basedOn w:val="Aucuneliste"/>
    <w:pPr>
      <w:numPr>
        <w:numId w:val="49"/>
      </w:numPr>
    </w:pPr>
  </w:style>
  <w:style w:type="numbering" w:customStyle="1" w:styleId="WWNum42">
    <w:name w:val="WWNum42"/>
    <w:basedOn w:val="Aucuneliste"/>
    <w:pPr>
      <w:numPr>
        <w:numId w:val="50"/>
      </w:numPr>
    </w:pPr>
  </w:style>
  <w:style w:type="numbering" w:customStyle="1" w:styleId="WWNum43">
    <w:name w:val="WWNum43"/>
    <w:basedOn w:val="Aucuneliste"/>
    <w:pPr>
      <w:numPr>
        <w:numId w:val="51"/>
      </w:numPr>
    </w:pPr>
  </w:style>
  <w:style w:type="numbering" w:customStyle="1" w:styleId="WWNum44">
    <w:name w:val="WWNum44"/>
    <w:basedOn w:val="Aucuneliste"/>
    <w:pPr>
      <w:numPr>
        <w:numId w:val="52"/>
      </w:numPr>
    </w:pPr>
  </w:style>
  <w:style w:type="numbering" w:customStyle="1" w:styleId="WWNum45">
    <w:name w:val="WWNum45"/>
    <w:basedOn w:val="Aucuneliste"/>
    <w:pPr>
      <w:numPr>
        <w:numId w:val="53"/>
      </w:numPr>
    </w:pPr>
  </w:style>
  <w:style w:type="numbering" w:customStyle="1" w:styleId="WWNum46">
    <w:name w:val="WWNum46"/>
    <w:basedOn w:val="Aucuneliste"/>
    <w:pPr>
      <w:numPr>
        <w:numId w:val="54"/>
      </w:numPr>
    </w:pPr>
  </w:style>
  <w:style w:type="numbering" w:customStyle="1" w:styleId="WWNum47">
    <w:name w:val="WWNum47"/>
    <w:basedOn w:val="Aucuneliste"/>
    <w:pPr>
      <w:numPr>
        <w:numId w:val="55"/>
      </w:numPr>
    </w:pPr>
  </w:style>
  <w:style w:type="numbering" w:customStyle="1" w:styleId="WWNum48">
    <w:name w:val="WWNum48"/>
    <w:basedOn w:val="Aucuneliste"/>
    <w:pPr>
      <w:numPr>
        <w:numId w:val="56"/>
      </w:numPr>
    </w:pPr>
  </w:style>
  <w:style w:type="numbering" w:customStyle="1" w:styleId="WWNum49">
    <w:name w:val="WWNum49"/>
    <w:basedOn w:val="Aucuneliste"/>
    <w:pPr>
      <w:numPr>
        <w:numId w:val="57"/>
      </w:numPr>
    </w:pPr>
  </w:style>
  <w:style w:type="numbering" w:customStyle="1" w:styleId="WWNum50">
    <w:name w:val="WWNum50"/>
    <w:basedOn w:val="Aucuneliste"/>
    <w:pPr>
      <w:numPr>
        <w:numId w:val="58"/>
      </w:numPr>
    </w:pPr>
  </w:style>
  <w:style w:type="numbering" w:customStyle="1" w:styleId="LFO52">
    <w:name w:val="LFO52"/>
    <w:basedOn w:val="Aucuneliste"/>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retagne.bzh/communicatio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jacques.pottier@cerema.fr" TargetMode="External"/><Relationship Id="rId12" Type="http://schemas.openxmlformats.org/officeDocument/2006/relationships/hyperlink" Target="mailto:benoit.thauvin@cerema.fr"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aurence.barrere@bretagne.bzh"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aurence.barrere@bretagne.bzh"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7479</Words>
  <Characters>41139</Characters>
  <Application>Microsoft Office Word</Application>
  <DocSecurity>0</DocSecurity>
  <Lines>342</Lines>
  <Paragraphs>97</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Loic BLIARD</dc:creator>
  <cp:lastModifiedBy>LAURENCE BARRERE</cp:lastModifiedBy>
  <cp:revision>2</cp:revision>
  <dcterms:created xsi:type="dcterms:W3CDTF">2022-04-11T13:15:00Z</dcterms:created>
  <dcterms:modified xsi:type="dcterms:W3CDTF">2022-04-11T13:15:00Z</dcterms:modified>
</cp:coreProperties>
</file>