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F6" w:rsidRDefault="005601C5">
      <w:pPr>
        <w:spacing w:before="83"/>
        <w:ind w:left="3703" w:hanging="2263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Informations pratiques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167639</wp:posOffset>
            </wp:positionH>
            <wp:positionV relativeFrom="paragraph">
              <wp:posOffset>45720</wp:posOffset>
            </wp:positionV>
            <wp:extent cx="548640" cy="54864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spacing w:before="389"/>
        <w:ind w:left="103" w:right="1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 dossier doit être utilisé par toute association sollicitant une subvention auprès du Conseil régional de Bretagne concernant la langue </w:t>
      </w:r>
      <w:proofErr w:type="spellStart"/>
      <w:r>
        <w:rPr>
          <w:color w:val="000000"/>
          <w:sz w:val="20"/>
          <w:szCs w:val="20"/>
        </w:rPr>
        <w:t>gallèse</w:t>
      </w:r>
      <w:proofErr w:type="spellEnd"/>
      <w:r>
        <w:rPr>
          <w:color w:val="000000"/>
          <w:sz w:val="20"/>
          <w:szCs w:val="20"/>
        </w:rPr>
        <w:t>. Attention, ce dossier ne concerne pas les financements imputables sur la section d'investissements.</w:t>
      </w: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</w:p>
    <w:p w:rsidR="00E006F6" w:rsidRDefault="005601C5">
      <w:pPr>
        <w:pStyle w:val="Titre1"/>
        <w:ind w:left="103" w:firstLine="0"/>
      </w:pPr>
      <w:bookmarkStart w:id="1" w:name="_gjdgxs" w:colFirst="0" w:colLast="0"/>
      <w:bookmarkEnd w:id="1"/>
      <w:r>
        <w:t>Attentio</w:t>
      </w:r>
      <w:r>
        <w:t>n : TOUT DOSSIER INCOMPLET SERA REJETÉ.</w:t>
      </w: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comporte 6 fiches :</w:t>
      </w:r>
    </w:p>
    <w:p w:rsidR="00E006F6" w:rsidRDefault="005601C5">
      <w:pPr>
        <w:pStyle w:val="Titre1"/>
        <w:numPr>
          <w:ilvl w:val="0"/>
          <w:numId w:val="1"/>
        </w:numPr>
        <w:tabs>
          <w:tab w:val="left" w:pos="236"/>
        </w:tabs>
        <w:spacing w:before="116"/>
      </w:pPr>
      <w:r>
        <w:t>Fiche n° 1 : Présentation de l'association.</w:t>
      </w:r>
    </w:p>
    <w:p w:rsidR="00E006F6" w:rsidRDefault="005601C5">
      <w:pPr>
        <w:spacing w:before="116"/>
        <w:ind w:left="103"/>
        <w:rPr>
          <w:b/>
          <w:sz w:val="20"/>
          <w:szCs w:val="20"/>
        </w:rPr>
      </w:pPr>
      <w:bookmarkStart w:id="2" w:name="_30j0zll" w:colFirst="0" w:colLast="0"/>
      <w:bookmarkEnd w:id="2"/>
      <w:r>
        <w:rPr>
          <w:sz w:val="20"/>
          <w:szCs w:val="20"/>
        </w:rPr>
        <w:t xml:space="preserve">Pour bénéficier d'une subvention, </w:t>
      </w:r>
      <w:r>
        <w:rPr>
          <w:b/>
          <w:sz w:val="20"/>
          <w:szCs w:val="20"/>
        </w:rPr>
        <w:t>vous devez disposer :</w:t>
      </w:r>
    </w:p>
    <w:p w:rsidR="00E006F6" w:rsidRDefault="005601C5">
      <w:pPr>
        <w:pStyle w:val="Titre1"/>
        <w:numPr>
          <w:ilvl w:val="1"/>
          <w:numId w:val="1"/>
        </w:numPr>
        <w:tabs>
          <w:tab w:val="left" w:pos="1543"/>
          <w:tab w:val="left" w:pos="1544"/>
        </w:tabs>
      </w:pPr>
      <w:proofErr w:type="gramStart"/>
      <w:r>
        <w:t>d'un</w:t>
      </w:r>
      <w:proofErr w:type="gramEnd"/>
      <w:r>
        <w:t xml:space="preserve"> numéro SIRET ;</w:t>
      </w:r>
    </w:p>
    <w:p w:rsidR="00E006F6" w:rsidRDefault="005601C5">
      <w:pPr>
        <w:ind w:left="463" w:right="49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 vous n'en avez pas, il vous faut le demander à la direction régionale de l'INSEE. Cette démarche est gratuite (annuaire des directions régionales sur </w:t>
      </w:r>
      <w:hyperlink r:id="rId6">
        <w:r>
          <w:rPr>
            <w:i/>
            <w:color w:val="0000FF"/>
            <w:sz w:val="20"/>
            <w:szCs w:val="20"/>
            <w:u w:val="single"/>
          </w:rPr>
          <w:t>http.www.insee.fr</w:t>
        </w:r>
      </w:hyperlink>
      <w:r>
        <w:rPr>
          <w:i/>
          <w:sz w:val="20"/>
          <w:szCs w:val="20"/>
        </w:rPr>
        <w:t>)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ind w:left="5720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47625" cy="7620"/>
                <wp:effectExtent l="0" t="0" r="0" b="0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7620"/>
                          <a:chOff x="5322188" y="3776190"/>
                          <a:chExt cx="47625" cy="762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5322188" y="3776190"/>
                            <a:ext cx="47625" cy="7620"/>
                            <a:chOff x="5322188" y="3776190"/>
                            <a:chExt cx="47625" cy="762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5322188" y="3776190"/>
                              <a:ext cx="47625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06F6" w:rsidRDefault="00E006F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e 5"/>
                          <wpg:cNvGrpSpPr/>
                          <wpg:grpSpPr>
                            <a:xfrm>
                              <a:off x="5322188" y="3776190"/>
                              <a:ext cx="47625" cy="7620"/>
                              <a:chOff x="0" y="0"/>
                              <a:chExt cx="75" cy="12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06F6" w:rsidRDefault="00E006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75" cy="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06F6" w:rsidRDefault="00E006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7625" cy="762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006F6" w:rsidRDefault="005601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1544"/>
        </w:tabs>
        <w:rPr>
          <w:color w:val="000000"/>
        </w:rPr>
      </w:pPr>
      <w:proofErr w:type="gramStart"/>
      <w:r>
        <w:rPr>
          <w:b/>
          <w:color w:val="000000"/>
          <w:sz w:val="20"/>
          <w:szCs w:val="20"/>
        </w:rPr>
        <w:t>d'un</w:t>
      </w:r>
      <w:proofErr w:type="gramEnd"/>
      <w:r>
        <w:rPr>
          <w:b/>
          <w:color w:val="000000"/>
          <w:sz w:val="20"/>
          <w:szCs w:val="20"/>
        </w:rPr>
        <w:t xml:space="preserve"> numéro RNA</w:t>
      </w:r>
      <w:r>
        <w:rPr>
          <w:color w:val="000000"/>
          <w:sz w:val="20"/>
          <w:szCs w:val="20"/>
        </w:rPr>
        <w:t>, ou à défaut, du numéro de récépissé en préfecture.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Ces références constitueront vos identifiants dans vos relations avec les services administratifs.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numéro RNA (répertoire national des associations) est attribué à l'occasion des enregistrements de cr</w:t>
      </w:r>
      <w:r>
        <w:rPr>
          <w:color w:val="000000"/>
          <w:sz w:val="20"/>
          <w:szCs w:val="20"/>
        </w:rPr>
        <w:t>éation ou modification en préfecture.</w:t>
      </w: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E006F6" w:rsidRDefault="005601C5">
      <w:pPr>
        <w:pStyle w:val="Titre1"/>
        <w:numPr>
          <w:ilvl w:val="0"/>
          <w:numId w:val="1"/>
        </w:numPr>
        <w:tabs>
          <w:tab w:val="left" w:pos="236"/>
        </w:tabs>
      </w:pPr>
      <w:r>
        <w:t>Fiches n°2 et 3 : Bilans</w:t>
      </w:r>
      <w:r>
        <w:rPr>
          <w:sz w:val="21"/>
          <w:szCs w:val="21"/>
          <w:vertAlign w:val="superscript"/>
        </w:rPr>
        <w:t>2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ind w:left="82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- 2 : </w:t>
      </w:r>
      <w:r>
        <w:rPr>
          <w:color w:val="000000"/>
          <w:sz w:val="20"/>
          <w:szCs w:val="20"/>
        </w:rPr>
        <w:t>bilan(s) de la ou des actions réalisée(s)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ind w:left="8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</w:rPr>
        <w:t xml:space="preserve">3 : </w:t>
      </w:r>
      <w:r>
        <w:rPr>
          <w:color w:val="000000"/>
          <w:sz w:val="20"/>
          <w:szCs w:val="20"/>
        </w:rPr>
        <w:t>bilan financier de l'association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spacing w:before="27"/>
        <w:ind w:left="823" w:right="4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 bilan est à détacher et à retourner dûment </w:t>
      </w:r>
      <w:proofErr w:type="gramStart"/>
      <w:r>
        <w:rPr>
          <w:color w:val="000000"/>
          <w:sz w:val="20"/>
          <w:szCs w:val="20"/>
        </w:rPr>
        <w:t>complété</w:t>
      </w:r>
      <w:proofErr w:type="gramEnd"/>
      <w:r>
        <w:rPr>
          <w:color w:val="000000"/>
          <w:sz w:val="20"/>
          <w:szCs w:val="20"/>
        </w:rPr>
        <w:t xml:space="preserve"> dans les 6 mois suivant la fin de l'exercice au titre duquel la subvention a été accordée, accompagné du dernier rapport annuel d'activités et des comptes approuvés du dernier exercice clos.</w:t>
      </w:r>
    </w:p>
    <w:p w:rsidR="00E006F6" w:rsidRDefault="005601C5">
      <w:pPr>
        <w:pStyle w:val="Titre1"/>
        <w:numPr>
          <w:ilvl w:val="0"/>
          <w:numId w:val="1"/>
        </w:numPr>
        <w:tabs>
          <w:tab w:val="left" w:pos="236"/>
        </w:tabs>
        <w:spacing w:before="143"/>
      </w:pPr>
      <w:r>
        <w:t xml:space="preserve">Fiche n°4 </w:t>
      </w:r>
      <w:r>
        <w:t>: Description de l'action ou des actions prévue(s)</w:t>
      </w:r>
    </w:p>
    <w:p w:rsidR="00E006F6" w:rsidRDefault="005601C5">
      <w:pPr>
        <w:spacing w:before="1"/>
        <w:ind w:left="103"/>
        <w:rPr>
          <w:sz w:val="20"/>
          <w:szCs w:val="20"/>
        </w:rPr>
      </w:pPr>
      <w:r>
        <w:rPr>
          <w:sz w:val="20"/>
          <w:szCs w:val="20"/>
        </w:rPr>
        <w:t xml:space="preserve">Si vous sollicitez un financement pour plusieurs actions, </w:t>
      </w:r>
      <w:r>
        <w:rPr>
          <w:b/>
          <w:sz w:val="20"/>
          <w:szCs w:val="20"/>
          <w:u w:val="single"/>
        </w:rPr>
        <w:t>vous devez remplir une fiche par action</w:t>
      </w:r>
      <w:r>
        <w:rPr>
          <w:sz w:val="20"/>
          <w:szCs w:val="20"/>
          <w:u w:val="single"/>
        </w:rPr>
        <w:t>.</w:t>
      </w:r>
    </w:p>
    <w:p w:rsidR="00E006F6" w:rsidRDefault="005601C5">
      <w:pPr>
        <w:pStyle w:val="Titre1"/>
        <w:numPr>
          <w:ilvl w:val="0"/>
          <w:numId w:val="1"/>
        </w:numPr>
        <w:tabs>
          <w:tab w:val="left" w:pos="236"/>
        </w:tabs>
        <w:spacing w:before="197"/>
      </w:pPr>
      <w:r>
        <w:t>Fiche n°5 : Budget prévisionnel de l'association.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ind w:left="103" w:right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vous disposez déjà d'un budget respectant la nomencla</w:t>
      </w:r>
      <w:r>
        <w:rPr>
          <w:color w:val="000000"/>
          <w:sz w:val="20"/>
          <w:szCs w:val="20"/>
        </w:rPr>
        <w:t xml:space="preserve">ture du plan comptable associatif, il vous suffit de le transmettre en ne faisant figurer sur la fiche </w:t>
      </w:r>
      <w:r>
        <w:rPr>
          <w:b/>
          <w:color w:val="000000"/>
          <w:sz w:val="20"/>
          <w:szCs w:val="20"/>
        </w:rPr>
        <w:t>que le montant de la subvention demandée</w:t>
      </w:r>
      <w:r>
        <w:rPr>
          <w:color w:val="000000"/>
          <w:sz w:val="20"/>
          <w:szCs w:val="20"/>
        </w:rPr>
        <w:t>.</w:t>
      </w:r>
    </w:p>
    <w:p w:rsidR="00E006F6" w:rsidRDefault="005601C5">
      <w:pPr>
        <w:pStyle w:val="Titre1"/>
        <w:numPr>
          <w:ilvl w:val="0"/>
          <w:numId w:val="1"/>
        </w:numPr>
        <w:tabs>
          <w:tab w:val="left" w:pos="236"/>
        </w:tabs>
        <w:spacing w:before="141"/>
      </w:pPr>
      <w:r>
        <w:t>Fiche n°6 : Déclaration sur l'honneur,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spacing w:before="1"/>
        <w:ind w:left="823" w:right="49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Cette fiche permet au représentant légal de l'association, ou à son mandataire, de signer la demande de subvention et d'en préciser le montant.</w:t>
      </w:r>
    </w:p>
    <w:p w:rsidR="00E006F6" w:rsidRDefault="005601C5">
      <w:pPr>
        <w:spacing w:before="1"/>
        <w:ind w:left="823"/>
        <w:rPr>
          <w:sz w:val="20"/>
          <w:szCs w:val="20"/>
        </w:rPr>
      </w:pPr>
      <w:r>
        <w:rPr>
          <w:sz w:val="20"/>
          <w:szCs w:val="20"/>
          <w:u w:val="single"/>
        </w:rPr>
        <w:t>Attention</w:t>
      </w:r>
      <w:r>
        <w:rPr>
          <w:sz w:val="20"/>
          <w:szCs w:val="20"/>
        </w:rPr>
        <w:t xml:space="preserve"> : votre demande ne sera prise en compte que si cette fiche est </w:t>
      </w:r>
      <w:r>
        <w:rPr>
          <w:b/>
          <w:sz w:val="20"/>
          <w:szCs w:val="20"/>
        </w:rPr>
        <w:t>complétée et signée</w:t>
      </w:r>
      <w:r>
        <w:rPr>
          <w:sz w:val="20"/>
          <w:szCs w:val="20"/>
        </w:rPr>
        <w:t>.</w:t>
      </w: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</w:p>
    <w:p w:rsidR="00E006F6" w:rsidRDefault="005601C5">
      <w:pPr>
        <w:pStyle w:val="Titre1"/>
        <w:numPr>
          <w:ilvl w:val="0"/>
          <w:numId w:val="1"/>
        </w:numPr>
        <w:tabs>
          <w:tab w:val="left" w:pos="236"/>
        </w:tabs>
        <w:spacing w:before="99"/>
      </w:pPr>
      <w:r>
        <w:t>Fiches budgets :</w:t>
      </w:r>
    </w:p>
    <w:p w:rsidR="00E006F6" w:rsidRDefault="005601C5">
      <w:pPr>
        <w:spacing w:before="1"/>
        <w:ind w:left="607"/>
        <w:rPr>
          <w:sz w:val="20"/>
          <w:szCs w:val="20"/>
        </w:rPr>
      </w:pPr>
      <w:r>
        <w:rPr>
          <w:b/>
          <w:sz w:val="20"/>
          <w:szCs w:val="20"/>
        </w:rPr>
        <w:t xml:space="preserve">Montants : </w:t>
      </w:r>
      <w:r>
        <w:rPr>
          <w:sz w:val="20"/>
          <w:szCs w:val="20"/>
        </w:rPr>
        <w:t>Ne pas indiquer les centimes.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spacing w:before="13"/>
        <w:ind w:left="60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Subventions : </w:t>
      </w:r>
      <w:r>
        <w:rPr>
          <w:color w:val="000000"/>
          <w:sz w:val="20"/>
          <w:szCs w:val="20"/>
        </w:rPr>
        <w:t xml:space="preserve">L'attention du demandeur est appelée sur le fait que les indications sur les financements demandés </w:t>
      </w:r>
      <w:proofErr w:type="gramStart"/>
      <w:r>
        <w:rPr>
          <w:color w:val="000000"/>
          <w:sz w:val="20"/>
          <w:szCs w:val="20"/>
        </w:rPr>
        <w:t>auprès</w:t>
      </w:r>
      <w:proofErr w:type="gramEnd"/>
      <w:r>
        <w:rPr>
          <w:color w:val="000000"/>
          <w:sz w:val="20"/>
          <w:szCs w:val="20"/>
        </w:rPr>
        <w:t xml:space="preserve"> d'autres financeurs publics valent déclaration sur l'honneur et tiennent lieu de justificatifs.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ind w:left="607" w:right="22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Contribution volontaires : </w:t>
      </w:r>
      <w:r>
        <w:rPr>
          <w:color w:val="000000"/>
          <w:sz w:val="20"/>
          <w:szCs w:val="20"/>
        </w:rPr>
        <w:t xml:space="preserve">Le plan comptable des associations, issu du règlement CRC n° 99-01, prévoit </w:t>
      </w:r>
      <w:r>
        <w:rPr>
          <w:i/>
          <w:color w:val="000000"/>
          <w:sz w:val="20"/>
          <w:szCs w:val="20"/>
        </w:rPr>
        <w:t xml:space="preserve">a minima </w:t>
      </w:r>
      <w:r>
        <w:rPr>
          <w:color w:val="000000"/>
          <w:sz w:val="20"/>
          <w:szCs w:val="20"/>
        </w:rPr>
        <w:t>une information (quantitative ou, à défaut, qualitative) dans l'annexe et une possibilité d'inscription en comptabilité mais en engagements</w:t>
      </w:r>
      <w:proofErr w:type="gramStart"/>
      <w:r>
        <w:rPr>
          <w:color w:val="000000"/>
          <w:sz w:val="20"/>
          <w:szCs w:val="20"/>
        </w:rPr>
        <w:t xml:space="preserve"> «hors</w:t>
      </w:r>
      <w:proofErr w:type="gramEnd"/>
      <w:r>
        <w:rPr>
          <w:color w:val="000000"/>
          <w:sz w:val="20"/>
          <w:szCs w:val="20"/>
        </w:rPr>
        <w:t>-bilan» et « au pied » du compte de résultat.</w:t>
      </w: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spacing w:before="1"/>
        <w:ind w:left="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Pour toute demande d’informations complémentaires :</w:t>
      </w:r>
    </w:p>
    <w:p w:rsidR="00E006F6" w:rsidRDefault="005601C5">
      <w:pPr>
        <w:spacing w:before="27"/>
        <w:ind w:left="103" w:right="3498"/>
        <w:rPr>
          <w:sz w:val="18"/>
          <w:szCs w:val="18"/>
        </w:rPr>
      </w:pPr>
      <w:r>
        <w:rPr>
          <w:sz w:val="20"/>
          <w:szCs w:val="20"/>
        </w:rPr>
        <w:t>Conseil Rég</w:t>
      </w:r>
      <w:r>
        <w:rPr>
          <w:sz w:val="20"/>
          <w:szCs w:val="20"/>
        </w:rPr>
        <w:t xml:space="preserve">ional de Bretagne - </w:t>
      </w:r>
      <w:r>
        <w:rPr>
          <w:sz w:val="18"/>
          <w:szCs w:val="18"/>
        </w:rPr>
        <w:t>Direction de l’éducation, des langues de Bretagne et du sport Service langues de Bretagne</w:t>
      </w:r>
    </w:p>
    <w:p w:rsidR="00E006F6" w:rsidRDefault="005601C5">
      <w:pPr>
        <w:ind w:left="103"/>
        <w:rPr>
          <w:sz w:val="18"/>
          <w:szCs w:val="18"/>
        </w:rPr>
      </w:pPr>
      <w:r>
        <w:rPr>
          <w:sz w:val="18"/>
          <w:szCs w:val="18"/>
        </w:rPr>
        <w:t xml:space="preserve">GENEVEE Michaël - Chargé de mission langue </w:t>
      </w:r>
      <w:proofErr w:type="spellStart"/>
      <w:r>
        <w:rPr>
          <w:sz w:val="18"/>
          <w:szCs w:val="18"/>
        </w:rPr>
        <w:t>gallèse</w:t>
      </w:r>
      <w:proofErr w:type="spellEnd"/>
    </w:p>
    <w:p w:rsidR="00E006F6" w:rsidRDefault="005601C5">
      <w:pPr>
        <w:ind w:left="103"/>
        <w:rPr>
          <w:rFonts w:ascii="Georgia" w:eastAsia="Georgia" w:hAnsi="Georgia" w:cs="Georgia"/>
          <w:i/>
          <w:sz w:val="18"/>
          <w:szCs w:val="18"/>
        </w:rPr>
      </w:pPr>
      <w:r>
        <w:rPr>
          <w:sz w:val="18"/>
          <w:szCs w:val="18"/>
        </w:rPr>
        <w:t xml:space="preserve">Tél. 02 22 51 60 98/06 78 24 46 35 - </w:t>
      </w:r>
      <w:hyperlink r:id="rId9">
        <w:r>
          <w:rPr>
            <w:i/>
            <w:sz w:val="18"/>
            <w:szCs w:val="18"/>
          </w:rPr>
          <w:t>michael.genevee</w:t>
        </w:r>
      </w:hyperlink>
      <w:hyperlink r:id="rId10">
        <w:r>
          <w:rPr>
            <w:rFonts w:ascii="Georgia" w:eastAsia="Georgia" w:hAnsi="Georgia" w:cs="Georgia"/>
            <w:i/>
            <w:sz w:val="18"/>
            <w:szCs w:val="18"/>
          </w:rPr>
          <w:t>@bretagne.bzh</w:t>
        </w:r>
      </w:hyperlink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0"/>
          <w:szCs w:val="20"/>
        </w:rPr>
      </w:pP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0"/>
          <w:szCs w:val="20"/>
        </w:rPr>
      </w:pP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0"/>
          <w:szCs w:val="20"/>
        </w:rPr>
      </w:pPr>
    </w:p>
    <w:p w:rsidR="00E006F6" w:rsidRDefault="00E006F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0"/>
          <w:szCs w:val="20"/>
        </w:rPr>
      </w:pP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Georgia" w:eastAsia="Georgia" w:hAnsi="Georgia" w:cs="Georgia"/>
          <w:i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1838960" cy="22225"/>
                <wp:effectExtent l="0" t="0" r="0" b="0"/>
                <wp:wrapTopAndBottom distT="0" distB="0"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283" y="378000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1838960" cy="222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spacing w:before="44"/>
        <w:ind w:left="103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  <w:vertAlign w:val="superscript"/>
        </w:rPr>
        <w:t xml:space="preserve">1 </w:t>
      </w:r>
      <w:r>
        <w:rPr>
          <w:color w:val="000000"/>
          <w:sz w:val="20"/>
          <w:szCs w:val="20"/>
        </w:rPr>
        <w:t>Autres que celles faisant l’objet de dispositifs particuliers du Conseil régional de Bretagne.</w:t>
      </w:r>
    </w:p>
    <w:p w:rsidR="00E006F6" w:rsidRDefault="005601C5">
      <w:pPr>
        <w:pBdr>
          <w:top w:val="nil"/>
          <w:left w:val="nil"/>
          <w:bottom w:val="nil"/>
          <w:right w:val="nil"/>
          <w:between w:val="nil"/>
        </w:pBdr>
        <w:spacing w:before="1" w:line="268" w:lineRule="auto"/>
        <w:ind w:left="103" w:right="1079"/>
        <w:rPr>
          <w:color w:val="000000"/>
          <w:sz w:val="20"/>
          <w:szCs w:val="20"/>
        </w:rPr>
      </w:pPr>
      <w:r>
        <w:rPr>
          <w:b/>
          <w:color w:val="000000"/>
          <w:sz w:val="21"/>
          <w:szCs w:val="21"/>
          <w:vertAlign w:val="superscript"/>
        </w:rPr>
        <w:t xml:space="preserve">2 </w:t>
      </w:r>
      <w:r>
        <w:rPr>
          <w:color w:val="000000"/>
          <w:sz w:val="20"/>
          <w:szCs w:val="20"/>
        </w:rPr>
        <w:t>Obligation prévue par l'article 10 de la loi n° 2000-321 relative aux droits des citoyens dans leurs relations avec l'administration. Cf. arrêté du Premier ministre du 11 octobre 2006 publié au Journal officiel du 14 octobre 2006.</w:t>
      </w:r>
    </w:p>
    <w:sectPr w:rsidR="00E006F6">
      <w:pgSz w:w="11910" w:h="16840"/>
      <w:pgMar w:top="540" w:right="320" w:bottom="280" w:left="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C84"/>
    <w:multiLevelType w:val="multilevel"/>
    <w:tmpl w:val="24EA7DEE"/>
    <w:lvl w:ilvl="0">
      <w:start w:val="1"/>
      <w:numFmt w:val="bullet"/>
      <w:lvlText w:val="-"/>
      <w:lvlJc w:val="left"/>
      <w:pPr>
        <w:ind w:left="235" w:hanging="132"/>
      </w:pPr>
      <w:rPr>
        <w:rFonts w:ascii="Trebuchet MS" w:eastAsia="Trebuchet MS" w:hAnsi="Trebuchet MS" w:cs="Trebuchet MS"/>
        <w:b/>
        <w:sz w:val="20"/>
        <w:szCs w:val="20"/>
      </w:rPr>
    </w:lvl>
    <w:lvl w:ilvl="1">
      <w:start w:val="1"/>
      <w:numFmt w:val="bullet"/>
      <w:lvlText w:val="-"/>
      <w:lvlJc w:val="left"/>
      <w:pPr>
        <w:ind w:left="1543" w:hanging="360"/>
      </w:pPr>
      <w:rPr>
        <w:rFonts w:ascii="Trebuchet MS" w:eastAsia="Trebuchet MS" w:hAnsi="Trebuchet MS" w:cs="Trebuchet MS"/>
        <w:sz w:val="20"/>
        <w:szCs w:val="20"/>
      </w:rPr>
    </w:lvl>
    <w:lvl w:ilvl="2">
      <w:start w:val="1"/>
      <w:numFmt w:val="bullet"/>
      <w:lvlText w:val="•"/>
      <w:lvlJc w:val="left"/>
      <w:pPr>
        <w:ind w:left="2636" w:hanging="360"/>
      </w:pPr>
    </w:lvl>
    <w:lvl w:ilvl="3">
      <w:start w:val="1"/>
      <w:numFmt w:val="bullet"/>
      <w:lvlText w:val="•"/>
      <w:lvlJc w:val="left"/>
      <w:pPr>
        <w:ind w:left="3732" w:hanging="360"/>
      </w:pPr>
    </w:lvl>
    <w:lvl w:ilvl="4">
      <w:start w:val="1"/>
      <w:numFmt w:val="bullet"/>
      <w:lvlText w:val="•"/>
      <w:lvlJc w:val="left"/>
      <w:pPr>
        <w:ind w:left="4828" w:hanging="360"/>
      </w:pPr>
    </w:lvl>
    <w:lvl w:ilvl="5">
      <w:start w:val="1"/>
      <w:numFmt w:val="bullet"/>
      <w:lvlText w:val="•"/>
      <w:lvlJc w:val="left"/>
      <w:pPr>
        <w:ind w:left="5925" w:hanging="360"/>
      </w:pPr>
    </w:lvl>
    <w:lvl w:ilvl="6">
      <w:start w:val="1"/>
      <w:numFmt w:val="bullet"/>
      <w:lvlText w:val="•"/>
      <w:lvlJc w:val="left"/>
      <w:pPr>
        <w:ind w:left="7021" w:hanging="360"/>
      </w:pPr>
    </w:lvl>
    <w:lvl w:ilvl="7">
      <w:start w:val="1"/>
      <w:numFmt w:val="bullet"/>
      <w:lvlText w:val="•"/>
      <w:lvlJc w:val="left"/>
      <w:pPr>
        <w:ind w:left="8117" w:hanging="360"/>
      </w:pPr>
    </w:lvl>
    <w:lvl w:ilvl="8">
      <w:start w:val="1"/>
      <w:numFmt w:val="bullet"/>
      <w:lvlText w:val="•"/>
      <w:lvlJc w:val="left"/>
      <w:pPr>
        <w:ind w:left="92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F6"/>
    <w:rsid w:val="005601C5"/>
    <w:rsid w:val="00E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41BF-AEFB-4649-9299-62B6680B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ind w:left="235" w:hanging="132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n.wwww.insee.fr/" TargetMode="External"/><Relationship Id="rId11" Type="http://schemas.openxmlformats.org/officeDocument/2006/relationships/image" Target="media/image1.png"/><Relationship Id="rId5" Type="http://schemas.openxmlformats.org/officeDocument/2006/relationships/image" Target="media/image1.jpg"/><Relationship Id="rId10" Type="http://schemas.openxmlformats.org/officeDocument/2006/relationships/hyperlink" Target="mailto:michael.genevee@bretagne.b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genevee@bretagne.bz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MARZIN</dc:creator>
  <cp:lastModifiedBy>ALICE MARZIN</cp:lastModifiedBy>
  <cp:revision>2</cp:revision>
  <dcterms:created xsi:type="dcterms:W3CDTF">2020-03-04T15:34:00Z</dcterms:created>
  <dcterms:modified xsi:type="dcterms:W3CDTF">2020-03-04T15:34:00Z</dcterms:modified>
</cp:coreProperties>
</file>