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854A9" w14:textId="77777777" w:rsidR="00A65A81" w:rsidRPr="00D912D2" w:rsidRDefault="00A65A81" w:rsidP="007D6B57">
      <w:pPr>
        <w:spacing w:line="276" w:lineRule="auto"/>
        <w:jc w:val="center"/>
        <w:rPr>
          <w:b/>
          <w:bCs/>
          <w:szCs w:val="20"/>
        </w:rPr>
      </w:pPr>
    </w:p>
    <w:p w14:paraId="3374852D" w14:textId="77777777" w:rsidR="00A65A81" w:rsidRPr="00D912D2" w:rsidRDefault="00A65A81" w:rsidP="007D6B57">
      <w:pPr>
        <w:spacing w:line="276" w:lineRule="auto"/>
        <w:jc w:val="center"/>
        <w:rPr>
          <w:b/>
          <w:bCs/>
          <w:szCs w:val="20"/>
        </w:rPr>
      </w:pPr>
    </w:p>
    <w:p w14:paraId="1825E884" w14:textId="77777777" w:rsidR="00A65A81" w:rsidRPr="00D912D2" w:rsidRDefault="00A65A81" w:rsidP="007D6B57">
      <w:pPr>
        <w:spacing w:line="276" w:lineRule="auto"/>
        <w:jc w:val="center"/>
        <w:rPr>
          <w:b/>
          <w:bCs/>
          <w:szCs w:val="20"/>
        </w:rPr>
      </w:pPr>
    </w:p>
    <w:p w14:paraId="0155C947" w14:textId="77777777" w:rsidR="00A65A81" w:rsidRPr="00D912D2" w:rsidRDefault="00A65A81" w:rsidP="007D6B57">
      <w:pPr>
        <w:spacing w:line="276" w:lineRule="auto"/>
        <w:jc w:val="center"/>
        <w:rPr>
          <w:b/>
          <w:bCs/>
          <w:szCs w:val="20"/>
        </w:rPr>
      </w:pPr>
    </w:p>
    <w:p w14:paraId="53175A8B" w14:textId="77777777" w:rsidR="00A65A81" w:rsidRPr="00D912D2" w:rsidRDefault="00A65A81" w:rsidP="007D6B57">
      <w:pPr>
        <w:spacing w:line="276" w:lineRule="auto"/>
        <w:jc w:val="center"/>
        <w:rPr>
          <w:b/>
          <w:bCs/>
          <w:szCs w:val="20"/>
        </w:rPr>
      </w:pPr>
    </w:p>
    <w:p w14:paraId="41F977B7" w14:textId="77777777" w:rsidR="00A65A81" w:rsidRPr="00D912D2" w:rsidRDefault="00A65A81" w:rsidP="007D6B57">
      <w:pPr>
        <w:spacing w:line="276" w:lineRule="auto"/>
        <w:jc w:val="center"/>
        <w:rPr>
          <w:b/>
          <w:bCs/>
          <w:szCs w:val="20"/>
        </w:rPr>
      </w:pPr>
    </w:p>
    <w:p w14:paraId="1A727808" w14:textId="77777777" w:rsidR="00A65A81" w:rsidRPr="00D912D2" w:rsidRDefault="00A65A81" w:rsidP="007D6B57">
      <w:pPr>
        <w:spacing w:line="276" w:lineRule="auto"/>
        <w:jc w:val="center"/>
        <w:rPr>
          <w:b/>
          <w:bCs/>
          <w:szCs w:val="20"/>
        </w:rPr>
      </w:pPr>
    </w:p>
    <w:p w14:paraId="34738880" w14:textId="77777777" w:rsidR="00A65A81" w:rsidRPr="00D912D2" w:rsidRDefault="00A65A81" w:rsidP="007D6B57">
      <w:pPr>
        <w:spacing w:line="276" w:lineRule="auto"/>
        <w:jc w:val="center"/>
        <w:rPr>
          <w:b/>
          <w:bCs/>
          <w:szCs w:val="20"/>
        </w:rPr>
      </w:pPr>
    </w:p>
    <w:p w14:paraId="4F4855D0" w14:textId="77777777" w:rsidR="00A65A81" w:rsidRPr="00D912D2" w:rsidRDefault="00A65A81" w:rsidP="007D6B57">
      <w:pPr>
        <w:spacing w:line="276" w:lineRule="auto"/>
        <w:jc w:val="center"/>
        <w:rPr>
          <w:b/>
          <w:bCs/>
          <w:szCs w:val="20"/>
        </w:rPr>
      </w:pPr>
    </w:p>
    <w:p w14:paraId="2510F910" w14:textId="77777777" w:rsidR="00A65A81" w:rsidRPr="00D912D2" w:rsidRDefault="00A65A81" w:rsidP="007D6B57">
      <w:pPr>
        <w:spacing w:line="276" w:lineRule="auto"/>
        <w:jc w:val="center"/>
        <w:rPr>
          <w:b/>
          <w:bCs/>
          <w:szCs w:val="20"/>
        </w:rPr>
      </w:pPr>
    </w:p>
    <w:p w14:paraId="172F8EE4" w14:textId="77777777" w:rsidR="00A65A81" w:rsidRPr="00D912D2" w:rsidRDefault="00A65A81" w:rsidP="007D6B57">
      <w:pPr>
        <w:spacing w:line="276" w:lineRule="auto"/>
        <w:jc w:val="center"/>
        <w:rPr>
          <w:b/>
          <w:bCs/>
          <w:szCs w:val="20"/>
        </w:rPr>
      </w:pPr>
    </w:p>
    <w:p w14:paraId="1BA41B2F" w14:textId="4FE5CDAB" w:rsidR="004C290B" w:rsidRPr="00D912D2" w:rsidRDefault="004C290B" w:rsidP="007D6B57">
      <w:pPr>
        <w:spacing w:line="276" w:lineRule="auto"/>
        <w:jc w:val="center"/>
        <w:rPr>
          <w:b/>
          <w:bCs/>
          <w:szCs w:val="20"/>
        </w:rPr>
      </w:pPr>
    </w:p>
    <w:p w14:paraId="3E0FFE5A" w14:textId="77777777" w:rsidR="004C290B" w:rsidRPr="00D912D2" w:rsidRDefault="004C290B" w:rsidP="007D6B57">
      <w:pPr>
        <w:spacing w:line="276" w:lineRule="auto"/>
        <w:jc w:val="center"/>
        <w:rPr>
          <w:b/>
          <w:bCs/>
          <w:szCs w:val="20"/>
        </w:rPr>
      </w:pPr>
    </w:p>
    <w:p w14:paraId="33A1361A" w14:textId="77777777" w:rsidR="00A65A81" w:rsidRPr="00D912D2" w:rsidRDefault="00A65A81" w:rsidP="007D6B57">
      <w:pPr>
        <w:spacing w:line="276" w:lineRule="auto"/>
        <w:jc w:val="center"/>
        <w:rPr>
          <w:b/>
          <w:bCs/>
          <w:szCs w:val="20"/>
        </w:rPr>
      </w:pPr>
    </w:p>
    <w:p w14:paraId="4AA554AB" w14:textId="77777777" w:rsidR="00A65A81" w:rsidRPr="00D912D2" w:rsidRDefault="00A65A81" w:rsidP="007D6B57">
      <w:pPr>
        <w:spacing w:line="276" w:lineRule="auto"/>
        <w:jc w:val="center"/>
        <w:rPr>
          <w:b/>
          <w:bCs/>
          <w:szCs w:val="20"/>
        </w:rPr>
      </w:pPr>
    </w:p>
    <w:p w14:paraId="43ADFA10" w14:textId="77777777" w:rsidR="00A65A81" w:rsidRPr="00D912D2" w:rsidRDefault="00A65A81" w:rsidP="007D6B57">
      <w:pPr>
        <w:spacing w:line="276" w:lineRule="auto"/>
        <w:jc w:val="center"/>
        <w:rPr>
          <w:b/>
          <w:bCs/>
          <w:sz w:val="40"/>
          <w:szCs w:val="40"/>
        </w:rPr>
      </w:pPr>
    </w:p>
    <w:p w14:paraId="38382AC1" w14:textId="77777777" w:rsidR="004811EC" w:rsidRPr="00D912D2" w:rsidRDefault="004811EC" w:rsidP="0092072D">
      <w:pPr>
        <w:pBdr>
          <w:top w:val="single" w:sz="12" w:space="1" w:color="000000"/>
          <w:left w:val="single" w:sz="12" w:space="4" w:color="000000"/>
          <w:bottom w:val="single" w:sz="12" w:space="1" w:color="000000"/>
          <w:right w:val="single" w:sz="12" w:space="4" w:color="000000"/>
        </w:pBdr>
        <w:spacing w:before="120" w:after="120" w:line="276" w:lineRule="auto"/>
        <w:jc w:val="center"/>
        <w:rPr>
          <w:b/>
          <w:bCs/>
          <w:sz w:val="16"/>
          <w:szCs w:val="16"/>
        </w:rPr>
      </w:pPr>
    </w:p>
    <w:p w14:paraId="045F1EC5" w14:textId="7B33BD62" w:rsidR="00A65A81" w:rsidRPr="00D912D2" w:rsidRDefault="00DD4C30" w:rsidP="0092072D">
      <w:pPr>
        <w:pBdr>
          <w:top w:val="single" w:sz="12" w:space="1" w:color="000000"/>
          <w:left w:val="single" w:sz="12" w:space="4" w:color="000000"/>
          <w:bottom w:val="single" w:sz="12" w:space="1" w:color="000000"/>
          <w:right w:val="single" w:sz="12" w:space="4" w:color="000000"/>
        </w:pBdr>
        <w:spacing w:before="120" w:after="120" w:line="276" w:lineRule="auto"/>
        <w:jc w:val="center"/>
        <w:rPr>
          <w:b/>
          <w:bCs/>
          <w:sz w:val="40"/>
          <w:szCs w:val="40"/>
        </w:rPr>
      </w:pPr>
      <w:r w:rsidRPr="00D912D2">
        <w:rPr>
          <w:b/>
          <w:bCs/>
          <w:sz w:val="40"/>
          <w:szCs w:val="40"/>
        </w:rPr>
        <w:t>D</w:t>
      </w:r>
      <w:r w:rsidR="00AB5532">
        <w:rPr>
          <w:b/>
          <w:bCs/>
          <w:sz w:val="40"/>
          <w:szCs w:val="40"/>
        </w:rPr>
        <w:t>ispositif d’accueil des chercheuses et chercheurs internationaux en post-doctorat « Bienvenüe »</w:t>
      </w:r>
    </w:p>
    <w:p w14:paraId="533044F0" w14:textId="3DEDC342" w:rsidR="004811EC" w:rsidRPr="00D912D2" w:rsidRDefault="0017085B" w:rsidP="00490C68">
      <w:pPr>
        <w:pBdr>
          <w:top w:val="single" w:sz="12" w:space="1" w:color="000000"/>
          <w:left w:val="single" w:sz="12" w:space="4" w:color="000000"/>
          <w:bottom w:val="single" w:sz="12" w:space="1" w:color="000000"/>
          <w:right w:val="single" w:sz="12" w:space="4" w:color="000000"/>
        </w:pBdr>
        <w:spacing w:before="120" w:after="120" w:line="276" w:lineRule="auto"/>
        <w:jc w:val="center"/>
        <w:rPr>
          <w:b/>
          <w:bCs/>
          <w:sz w:val="40"/>
          <w:szCs w:val="40"/>
        </w:rPr>
      </w:pPr>
      <w:r w:rsidRPr="00D912D2">
        <w:rPr>
          <w:rFonts w:cs="Times New Roman"/>
          <w:b/>
          <w:bCs/>
          <w:color w:val="000000"/>
          <w:sz w:val="40"/>
          <w:szCs w:val="40"/>
          <w:lang w:eastAsia="fr-FR"/>
        </w:rPr>
        <w:t>Règlement</w:t>
      </w:r>
      <w:r w:rsidR="00962533" w:rsidRPr="00D912D2">
        <w:rPr>
          <w:b/>
          <w:bCs/>
          <w:sz w:val="40"/>
          <w:szCs w:val="40"/>
        </w:rPr>
        <w:t xml:space="preserve"> 202</w:t>
      </w:r>
      <w:r w:rsidR="00AB5532">
        <w:rPr>
          <w:b/>
          <w:bCs/>
          <w:sz w:val="40"/>
          <w:szCs w:val="40"/>
        </w:rPr>
        <w:t>4</w:t>
      </w:r>
    </w:p>
    <w:p w14:paraId="717692C9" w14:textId="77777777" w:rsidR="004811EC" w:rsidRPr="00D912D2" w:rsidRDefault="004811EC" w:rsidP="00490C68">
      <w:pPr>
        <w:pBdr>
          <w:top w:val="single" w:sz="12" w:space="1" w:color="000000"/>
          <w:left w:val="single" w:sz="12" w:space="4" w:color="000000"/>
          <w:bottom w:val="single" w:sz="12" w:space="1" w:color="000000"/>
          <w:right w:val="single" w:sz="12" w:space="4" w:color="000000"/>
        </w:pBdr>
        <w:spacing w:before="120" w:after="120" w:line="276" w:lineRule="auto"/>
        <w:rPr>
          <w:rFonts w:cs="Times New Roman"/>
          <w:bCs/>
          <w:i/>
          <w:color w:val="000000"/>
          <w:sz w:val="16"/>
          <w:szCs w:val="16"/>
          <w:lang w:eastAsia="fr-FR"/>
        </w:rPr>
      </w:pPr>
    </w:p>
    <w:p w14:paraId="53A2DF58" w14:textId="77777777" w:rsidR="00A65A81" w:rsidRPr="00D912D2" w:rsidRDefault="00A65A81" w:rsidP="007D6B57">
      <w:pPr>
        <w:spacing w:line="276" w:lineRule="auto"/>
        <w:rPr>
          <w:b/>
          <w:bCs/>
          <w:szCs w:val="20"/>
        </w:rPr>
      </w:pPr>
    </w:p>
    <w:p w14:paraId="2A5F229D" w14:textId="77777777" w:rsidR="00A65A81" w:rsidRPr="00D912D2" w:rsidRDefault="00A65A81" w:rsidP="007D6B57">
      <w:pPr>
        <w:spacing w:line="276" w:lineRule="auto"/>
        <w:rPr>
          <w:szCs w:val="20"/>
        </w:rPr>
      </w:pPr>
    </w:p>
    <w:p w14:paraId="1EBFAD3D" w14:textId="77777777" w:rsidR="00A65A81" w:rsidRPr="00D912D2" w:rsidRDefault="00A65A81" w:rsidP="007D6B57">
      <w:pPr>
        <w:spacing w:line="276" w:lineRule="auto"/>
        <w:rPr>
          <w:b/>
          <w:bCs/>
          <w:szCs w:val="20"/>
        </w:rPr>
      </w:pPr>
    </w:p>
    <w:p w14:paraId="3A65CC96" w14:textId="77777777" w:rsidR="00A65A81" w:rsidRPr="00D912D2" w:rsidRDefault="00A65A81" w:rsidP="007D6B57">
      <w:pPr>
        <w:spacing w:line="276" w:lineRule="auto"/>
        <w:rPr>
          <w:b/>
          <w:bCs/>
          <w:szCs w:val="20"/>
        </w:rPr>
      </w:pPr>
    </w:p>
    <w:p w14:paraId="03CF11ED" w14:textId="77777777" w:rsidR="00A65A81" w:rsidRPr="00D912D2" w:rsidRDefault="00A65A81" w:rsidP="007D6B57">
      <w:pPr>
        <w:spacing w:line="276" w:lineRule="auto"/>
        <w:rPr>
          <w:szCs w:val="20"/>
        </w:rPr>
      </w:pPr>
    </w:p>
    <w:p w14:paraId="39EF6E9D" w14:textId="77777777" w:rsidR="00A65A81" w:rsidRPr="00D912D2" w:rsidRDefault="00A65A81" w:rsidP="007D6B57">
      <w:pPr>
        <w:spacing w:line="276" w:lineRule="auto"/>
        <w:jc w:val="center"/>
        <w:rPr>
          <w:sz w:val="36"/>
          <w:szCs w:val="36"/>
        </w:rPr>
      </w:pPr>
    </w:p>
    <w:p w14:paraId="31735BBF" w14:textId="77777777" w:rsidR="00A65A81" w:rsidRPr="00D912D2" w:rsidRDefault="00A65A81" w:rsidP="007D6B57">
      <w:pPr>
        <w:spacing w:line="276" w:lineRule="auto"/>
        <w:jc w:val="center"/>
        <w:rPr>
          <w:i/>
          <w:sz w:val="36"/>
          <w:szCs w:val="36"/>
        </w:rPr>
      </w:pPr>
    </w:p>
    <w:p w14:paraId="319378A4" w14:textId="5861FC5C" w:rsidR="00092F50" w:rsidRPr="00D912D2" w:rsidRDefault="00092F50" w:rsidP="007D6B57">
      <w:pPr>
        <w:spacing w:line="276" w:lineRule="auto"/>
        <w:jc w:val="center"/>
        <w:rPr>
          <w:i/>
          <w:sz w:val="36"/>
          <w:szCs w:val="36"/>
        </w:rPr>
      </w:pPr>
    </w:p>
    <w:p w14:paraId="117542BD" w14:textId="77777777" w:rsidR="00092F50" w:rsidRPr="00D912D2" w:rsidRDefault="00092F50" w:rsidP="00092F50">
      <w:pPr>
        <w:rPr>
          <w:sz w:val="36"/>
          <w:szCs w:val="36"/>
        </w:rPr>
      </w:pPr>
    </w:p>
    <w:p w14:paraId="183D0722" w14:textId="77777777" w:rsidR="00092F50" w:rsidRPr="00D912D2" w:rsidRDefault="00092F50" w:rsidP="00092F50">
      <w:pPr>
        <w:rPr>
          <w:sz w:val="36"/>
          <w:szCs w:val="36"/>
        </w:rPr>
      </w:pPr>
    </w:p>
    <w:p w14:paraId="13943C55" w14:textId="77777777" w:rsidR="00092F50" w:rsidRPr="00D912D2" w:rsidRDefault="00092F50" w:rsidP="00092F50">
      <w:pPr>
        <w:rPr>
          <w:sz w:val="36"/>
          <w:szCs w:val="36"/>
        </w:rPr>
      </w:pPr>
    </w:p>
    <w:p w14:paraId="4D7F028A" w14:textId="77777777" w:rsidR="00092F50" w:rsidRPr="00D912D2" w:rsidRDefault="00092F50" w:rsidP="00092F50">
      <w:pPr>
        <w:rPr>
          <w:sz w:val="36"/>
          <w:szCs w:val="36"/>
        </w:rPr>
      </w:pPr>
    </w:p>
    <w:p w14:paraId="0E711E8B" w14:textId="77777777" w:rsidR="00092F50" w:rsidRPr="00D912D2" w:rsidRDefault="00092F50" w:rsidP="00092F50">
      <w:pPr>
        <w:rPr>
          <w:sz w:val="36"/>
          <w:szCs w:val="36"/>
        </w:rPr>
      </w:pPr>
    </w:p>
    <w:p w14:paraId="421B4CC8" w14:textId="05AE9810" w:rsidR="00092F50" w:rsidRPr="00D912D2" w:rsidRDefault="00092F50" w:rsidP="00092F50">
      <w:pPr>
        <w:jc w:val="right"/>
        <w:rPr>
          <w:sz w:val="36"/>
          <w:szCs w:val="36"/>
        </w:rPr>
      </w:pPr>
    </w:p>
    <w:p w14:paraId="160C5317" w14:textId="6C42EF3A" w:rsidR="00092F50" w:rsidRPr="00D912D2" w:rsidRDefault="00092F50" w:rsidP="00092F50">
      <w:pPr>
        <w:rPr>
          <w:sz w:val="36"/>
          <w:szCs w:val="36"/>
        </w:rPr>
      </w:pPr>
    </w:p>
    <w:p w14:paraId="5EE06999" w14:textId="77777777" w:rsidR="00A65A81" w:rsidRPr="00D912D2" w:rsidRDefault="00A65A81" w:rsidP="00092F50">
      <w:pPr>
        <w:rPr>
          <w:sz w:val="36"/>
          <w:szCs w:val="36"/>
        </w:rPr>
        <w:sectPr w:rsidR="00A65A81" w:rsidRPr="00D912D2" w:rsidSect="00092F50">
          <w:headerReference w:type="default" r:id="rId8"/>
          <w:footerReference w:type="default" r:id="rId9"/>
          <w:headerReference w:type="first" r:id="rId10"/>
          <w:footerReference w:type="first" r:id="rId11"/>
          <w:pgSz w:w="11906" w:h="16838"/>
          <w:pgMar w:top="1077" w:right="924" w:bottom="765" w:left="902" w:header="0" w:footer="709" w:gutter="0"/>
          <w:cols w:space="720"/>
          <w:formProt w:val="0"/>
          <w:titlePg/>
          <w:docGrid w:linePitch="360"/>
        </w:sectPr>
      </w:pPr>
    </w:p>
    <w:p w14:paraId="018805A5" w14:textId="5497C6BD" w:rsidR="00A65A81" w:rsidRPr="00D912D2" w:rsidRDefault="005548CC" w:rsidP="007D6B57">
      <w:pPr>
        <w:pBdr>
          <w:top w:val="single" w:sz="12" w:space="4" w:color="000000"/>
          <w:left w:val="single" w:sz="12" w:space="4" w:color="000000"/>
          <w:bottom w:val="single" w:sz="12" w:space="1" w:color="000000"/>
          <w:right w:val="single" w:sz="12" w:space="4" w:color="000000"/>
        </w:pBdr>
        <w:spacing w:line="276" w:lineRule="auto"/>
        <w:rPr>
          <w:b/>
          <w:i/>
          <w:iCs/>
          <w:szCs w:val="20"/>
        </w:rPr>
      </w:pPr>
      <w:r w:rsidRPr="00D912D2">
        <w:rPr>
          <w:b/>
          <w:i/>
          <w:iCs/>
          <w:szCs w:val="20"/>
        </w:rPr>
        <w:lastRenderedPageBreak/>
        <w:t xml:space="preserve"> 1 - OBJECTIFS</w:t>
      </w:r>
    </w:p>
    <w:p w14:paraId="015CF08D" w14:textId="42EF942B" w:rsidR="001C781C" w:rsidRPr="00D912D2" w:rsidRDefault="001C781C" w:rsidP="00D401A3">
      <w:pPr>
        <w:numPr>
          <w:ilvl w:val="0"/>
          <w:numId w:val="10"/>
        </w:numPr>
        <w:spacing w:before="240" w:line="276" w:lineRule="auto"/>
        <w:ind w:left="714" w:hanging="357"/>
        <w:rPr>
          <w:rFonts w:cs="Times New Roman"/>
          <w:szCs w:val="20"/>
          <w:lang w:eastAsia="fr-FR"/>
        </w:rPr>
      </w:pPr>
      <w:r w:rsidRPr="00D912D2">
        <w:rPr>
          <w:rFonts w:cs="Times New Roman"/>
          <w:szCs w:val="20"/>
          <w:lang w:eastAsia="fr-FR"/>
        </w:rPr>
        <w:t xml:space="preserve">Développer l’excellence </w:t>
      </w:r>
      <w:r w:rsidR="00B74EFF" w:rsidRPr="00D912D2">
        <w:rPr>
          <w:rFonts w:cs="Times New Roman"/>
          <w:szCs w:val="20"/>
          <w:lang w:eastAsia="fr-FR"/>
        </w:rPr>
        <w:t xml:space="preserve">et la visibilité internationale </w:t>
      </w:r>
      <w:r w:rsidRPr="00D912D2">
        <w:rPr>
          <w:rFonts w:cs="Times New Roman"/>
          <w:szCs w:val="20"/>
          <w:lang w:eastAsia="fr-FR"/>
        </w:rPr>
        <w:t xml:space="preserve">de la recherche </w:t>
      </w:r>
      <w:r w:rsidR="00FA2D4E" w:rsidRPr="00D912D2">
        <w:rPr>
          <w:rFonts w:cs="Times New Roman"/>
          <w:szCs w:val="20"/>
          <w:lang w:eastAsia="fr-FR"/>
        </w:rPr>
        <w:t>bretonne</w:t>
      </w:r>
      <w:r w:rsidR="00B74EFF" w:rsidRPr="00D912D2">
        <w:rPr>
          <w:rFonts w:cs="Times New Roman"/>
          <w:szCs w:val="20"/>
          <w:lang w:eastAsia="fr-FR"/>
        </w:rPr>
        <w:t xml:space="preserve"> </w:t>
      </w:r>
      <w:r w:rsidRPr="00D912D2">
        <w:rPr>
          <w:rFonts w:cs="Times New Roman"/>
          <w:szCs w:val="20"/>
          <w:lang w:eastAsia="fr-FR"/>
        </w:rPr>
        <w:t xml:space="preserve">dans </w:t>
      </w:r>
      <w:r w:rsidR="00FC0F8A" w:rsidRPr="00D912D2">
        <w:rPr>
          <w:rFonts w:cs="Times New Roman"/>
          <w:szCs w:val="20"/>
          <w:lang w:eastAsia="fr-FR"/>
        </w:rPr>
        <w:t>les priorités</w:t>
      </w:r>
      <w:r w:rsidRPr="00D912D2">
        <w:rPr>
          <w:rFonts w:cs="Times New Roman"/>
          <w:szCs w:val="20"/>
          <w:lang w:eastAsia="fr-FR"/>
        </w:rPr>
        <w:t xml:space="preserve"> de la Stratégie régionale de recherche et d’innovation (</w:t>
      </w:r>
      <w:r w:rsidRPr="00D912D2">
        <w:rPr>
          <w:rFonts w:cs="Times New Roman"/>
          <w:i/>
          <w:szCs w:val="20"/>
          <w:lang w:eastAsia="fr-FR"/>
        </w:rPr>
        <w:t xml:space="preserve">Smart </w:t>
      </w:r>
      <w:proofErr w:type="spellStart"/>
      <w:r w:rsidRPr="00D912D2">
        <w:rPr>
          <w:rFonts w:cs="Times New Roman"/>
          <w:i/>
          <w:szCs w:val="20"/>
          <w:lang w:eastAsia="fr-FR"/>
        </w:rPr>
        <w:t>Specialization</w:t>
      </w:r>
      <w:proofErr w:type="spellEnd"/>
      <w:r w:rsidRPr="00D912D2">
        <w:rPr>
          <w:rFonts w:cs="Times New Roman"/>
          <w:i/>
          <w:szCs w:val="20"/>
          <w:lang w:eastAsia="fr-FR"/>
        </w:rPr>
        <w:t xml:space="preserve"> </w:t>
      </w:r>
      <w:proofErr w:type="spellStart"/>
      <w:r w:rsidRPr="00D912D2">
        <w:rPr>
          <w:rFonts w:cs="Times New Roman"/>
          <w:i/>
          <w:szCs w:val="20"/>
          <w:lang w:eastAsia="fr-FR"/>
        </w:rPr>
        <w:t>Strategy</w:t>
      </w:r>
      <w:proofErr w:type="spellEnd"/>
      <w:r w:rsidR="00FA2D4E" w:rsidRPr="00D912D2">
        <w:rPr>
          <w:rFonts w:cs="Times New Roman"/>
          <w:szCs w:val="20"/>
          <w:lang w:eastAsia="fr-FR"/>
        </w:rPr>
        <w:t xml:space="preserve"> ou S3)</w:t>
      </w:r>
      <w:r w:rsidR="00F71DFE" w:rsidRPr="00D912D2">
        <w:rPr>
          <w:rFonts w:cs="Times New Roman"/>
          <w:szCs w:val="20"/>
          <w:lang w:eastAsia="fr-FR"/>
        </w:rPr>
        <w:t> ;</w:t>
      </w:r>
    </w:p>
    <w:p w14:paraId="62490A8F" w14:textId="65E786B5" w:rsidR="00A65A81" w:rsidRPr="00D912D2" w:rsidRDefault="00F71DFE" w:rsidP="007D6B57">
      <w:pPr>
        <w:numPr>
          <w:ilvl w:val="0"/>
          <w:numId w:val="10"/>
        </w:numPr>
        <w:spacing w:before="60" w:line="276" w:lineRule="auto"/>
        <w:ind w:left="714" w:hanging="357"/>
        <w:rPr>
          <w:rFonts w:cs="Times New Roman"/>
          <w:szCs w:val="20"/>
          <w:lang w:eastAsia="fr-FR"/>
        </w:rPr>
      </w:pPr>
      <w:proofErr w:type="gramStart"/>
      <w:r w:rsidRPr="00D912D2">
        <w:rPr>
          <w:rFonts w:cs="Times New Roman"/>
          <w:szCs w:val="20"/>
          <w:lang w:eastAsia="fr-FR"/>
        </w:rPr>
        <w:t>f</w:t>
      </w:r>
      <w:r w:rsidR="005548CC" w:rsidRPr="00D912D2">
        <w:rPr>
          <w:rFonts w:cs="Times New Roman"/>
          <w:szCs w:val="20"/>
          <w:lang w:eastAsia="fr-FR"/>
        </w:rPr>
        <w:t>avoriser</w:t>
      </w:r>
      <w:proofErr w:type="gramEnd"/>
      <w:r w:rsidR="005548CC" w:rsidRPr="00D912D2">
        <w:rPr>
          <w:rFonts w:cs="Times New Roman"/>
          <w:szCs w:val="20"/>
          <w:lang w:eastAsia="fr-FR"/>
        </w:rPr>
        <w:t xml:space="preserve"> l’implantation et l’intégration de nouvelles compétences</w:t>
      </w:r>
      <w:r w:rsidR="002E7895" w:rsidRPr="00D912D2">
        <w:rPr>
          <w:rFonts w:cs="Times New Roman"/>
          <w:szCs w:val="20"/>
          <w:lang w:eastAsia="fr-FR"/>
        </w:rPr>
        <w:t>,</w:t>
      </w:r>
      <w:r w:rsidR="005548CC" w:rsidRPr="00D912D2">
        <w:rPr>
          <w:rFonts w:cs="Times New Roman"/>
          <w:szCs w:val="20"/>
          <w:lang w:eastAsia="fr-FR"/>
        </w:rPr>
        <w:t xml:space="preserve"> et renforcer durablement l’attractivité de la Bretagne</w:t>
      </w:r>
      <w:r w:rsidR="00FA2D4E" w:rsidRPr="00D912D2">
        <w:rPr>
          <w:rFonts w:cs="Times New Roman"/>
          <w:szCs w:val="20"/>
          <w:lang w:eastAsia="fr-FR"/>
        </w:rPr>
        <w:t xml:space="preserve"> dans ses domaines forts de recherche et d’innovation</w:t>
      </w:r>
      <w:r w:rsidRPr="00D912D2">
        <w:rPr>
          <w:rFonts w:cs="Times New Roman"/>
          <w:szCs w:val="20"/>
          <w:lang w:eastAsia="fr-FR"/>
        </w:rPr>
        <w:t> ;</w:t>
      </w:r>
    </w:p>
    <w:p w14:paraId="760BEC3F" w14:textId="7E27C4E3" w:rsidR="00FC0F8A" w:rsidRPr="00D912D2" w:rsidRDefault="00F71DFE" w:rsidP="00FC0F8A">
      <w:pPr>
        <w:numPr>
          <w:ilvl w:val="0"/>
          <w:numId w:val="10"/>
        </w:numPr>
        <w:spacing w:before="120" w:line="276" w:lineRule="auto"/>
        <w:ind w:left="714" w:hanging="357"/>
        <w:rPr>
          <w:rFonts w:cs="Times New Roman"/>
          <w:szCs w:val="20"/>
          <w:lang w:eastAsia="fr-FR"/>
        </w:rPr>
      </w:pPr>
      <w:proofErr w:type="gramStart"/>
      <w:r w:rsidRPr="00D912D2">
        <w:rPr>
          <w:rFonts w:cs="Times New Roman"/>
          <w:szCs w:val="20"/>
          <w:lang w:eastAsia="fr-FR"/>
        </w:rPr>
        <w:t>c</w:t>
      </w:r>
      <w:r w:rsidR="00FC0F8A" w:rsidRPr="00D912D2">
        <w:rPr>
          <w:rFonts w:cs="Times New Roman"/>
          <w:szCs w:val="20"/>
          <w:lang w:eastAsia="fr-FR"/>
        </w:rPr>
        <w:t>ontribuer</w:t>
      </w:r>
      <w:proofErr w:type="gramEnd"/>
      <w:r w:rsidR="00FC0F8A" w:rsidRPr="00D912D2">
        <w:rPr>
          <w:rFonts w:cs="Times New Roman"/>
          <w:szCs w:val="20"/>
          <w:lang w:eastAsia="fr-FR"/>
        </w:rPr>
        <w:t xml:space="preserve"> à l’émergence de nouvelles thématiques et renforcer le potentiel de recherche en Bretagne</w:t>
      </w:r>
      <w:r w:rsidRPr="00D912D2">
        <w:rPr>
          <w:rFonts w:cs="Times New Roman"/>
          <w:szCs w:val="20"/>
          <w:lang w:eastAsia="fr-FR"/>
        </w:rPr>
        <w:t>.</w:t>
      </w:r>
    </w:p>
    <w:p w14:paraId="617834C1" w14:textId="77777777" w:rsidR="004C290B" w:rsidRPr="00D912D2" w:rsidRDefault="004C290B" w:rsidP="008E7A22">
      <w:pPr>
        <w:spacing w:before="120" w:line="276" w:lineRule="auto"/>
        <w:rPr>
          <w:rFonts w:cs="Times New Roman"/>
          <w:szCs w:val="20"/>
          <w:lang w:eastAsia="fr-FR"/>
        </w:rPr>
      </w:pPr>
    </w:p>
    <w:p w14:paraId="47459F0E" w14:textId="1B5DE2D5" w:rsidR="00A65A81" w:rsidRPr="00D912D2" w:rsidRDefault="005548CC" w:rsidP="007D6B57">
      <w:pPr>
        <w:pBdr>
          <w:top w:val="single" w:sz="12" w:space="4" w:color="000000"/>
          <w:left w:val="single" w:sz="12" w:space="4" w:color="000000"/>
          <w:bottom w:val="single" w:sz="12" w:space="1" w:color="000000"/>
          <w:right w:val="single" w:sz="12" w:space="4" w:color="000000"/>
        </w:pBdr>
        <w:spacing w:line="276" w:lineRule="auto"/>
        <w:rPr>
          <w:b/>
          <w:i/>
          <w:iCs/>
          <w:szCs w:val="20"/>
        </w:rPr>
      </w:pPr>
      <w:r w:rsidRPr="00D912D2">
        <w:rPr>
          <w:b/>
          <w:i/>
          <w:iCs/>
          <w:szCs w:val="20"/>
        </w:rPr>
        <w:t xml:space="preserve"> 2 - B</w:t>
      </w:r>
      <w:r w:rsidR="00F71DFE" w:rsidRPr="00D912D2">
        <w:rPr>
          <w:b/>
          <w:i/>
          <w:iCs/>
          <w:szCs w:val="20"/>
        </w:rPr>
        <w:t>É</w:t>
      </w:r>
      <w:r w:rsidRPr="00D912D2">
        <w:rPr>
          <w:b/>
          <w:i/>
          <w:iCs/>
          <w:szCs w:val="20"/>
        </w:rPr>
        <w:t>N</w:t>
      </w:r>
      <w:r w:rsidR="00F71DFE" w:rsidRPr="00D912D2">
        <w:rPr>
          <w:b/>
          <w:i/>
          <w:iCs/>
          <w:szCs w:val="20"/>
        </w:rPr>
        <w:t>É</w:t>
      </w:r>
      <w:r w:rsidRPr="00D912D2">
        <w:rPr>
          <w:b/>
          <w:i/>
          <w:iCs/>
          <w:szCs w:val="20"/>
        </w:rPr>
        <w:t>FICIAIRES</w:t>
      </w:r>
    </w:p>
    <w:p w14:paraId="23946269" w14:textId="77777777" w:rsidR="00A65A81" w:rsidRPr="00D912D2" w:rsidRDefault="005548CC" w:rsidP="00D401A3">
      <w:pPr>
        <w:spacing w:before="240" w:line="276" w:lineRule="auto"/>
        <w:rPr>
          <w:szCs w:val="20"/>
        </w:rPr>
      </w:pPr>
      <w:r w:rsidRPr="00D912D2">
        <w:rPr>
          <w:szCs w:val="20"/>
        </w:rPr>
        <w:t xml:space="preserve">Sont considérées comme éligibles au dispositif les structures suivantes </w:t>
      </w:r>
      <w:r w:rsidRPr="00D912D2">
        <w:rPr>
          <w:b/>
          <w:szCs w:val="20"/>
        </w:rPr>
        <w:t>implantées en Bretagne</w:t>
      </w:r>
      <w:r w:rsidRPr="00D912D2">
        <w:rPr>
          <w:szCs w:val="20"/>
        </w:rPr>
        <w:t xml:space="preserve"> :</w:t>
      </w:r>
    </w:p>
    <w:p w14:paraId="0E9022CD" w14:textId="7BD3C9DC" w:rsidR="00A65A81" w:rsidRPr="00D912D2" w:rsidRDefault="005548CC" w:rsidP="007D6B57">
      <w:pPr>
        <w:numPr>
          <w:ilvl w:val="0"/>
          <w:numId w:val="10"/>
        </w:numPr>
        <w:spacing w:before="60" w:line="276" w:lineRule="auto"/>
        <w:ind w:left="714" w:hanging="357"/>
        <w:rPr>
          <w:rFonts w:cs="Times New Roman"/>
          <w:szCs w:val="20"/>
          <w:lang w:eastAsia="fr-FR"/>
        </w:rPr>
      </w:pPr>
      <w:proofErr w:type="gramStart"/>
      <w:r w:rsidRPr="00D912D2">
        <w:rPr>
          <w:rFonts w:cs="Times New Roman"/>
          <w:szCs w:val="20"/>
          <w:lang w:eastAsia="fr-FR"/>
        </w:rPr>
        <w:t>les</w:t>
      </w:r>
      <w:proofErr w:type="gramEnd"/>
      <w:r w:rsidRPr="00D912D2">
        <w:rPr>
          <w:rFonts w:cs="Times New Roman"/>
          <w:szCs w:val="20"/>
          <w:lang w:eastAsia="fr-FR"/>
        </w:rPr>
        <w:t xml:space="preserve"> établissements publics d’enseignement supérieur disposant d’activités de recherche</w:t>
      </w:r>
      <w:r w:rsidR="00F71DFE" w:rsidRPr="00D912D2">
        <w:rPr>
          <w:rFonts w:cs="Times New Roman"/>
          <w:szCs w:val="20"/>
          <w:lang w:eastAsia="fr-FR"/>
        </w:rPr>
        <w:t> ;</w:t>
      </w:r>
    </w:p>
    <w:p w14:paraId="4A93BEFB" w14:textId="06F3FDE1" w:rsidR="00A65A81" w:rsidRPr="00D912D2" w:rsidRDefault="005548CC" w:rsidP="007D6B57">
      <w:pPr>
        <w:numPr>
          <w:ilvl w:val="0"/>
          <w:numId w:val="10"/>
        </w:numPr>
        <w:spacing w:before="60" w:line="276" w:lineRule="auto"/>
        <w:ind w:left="714" w:hanging="357"/>
        <w:rPr>
          <w:rFonts w:cs="Times New Roman"/>
          <w:szCs w:val="20"/>
          <w:lang w:eastAsia="fr-FR"/>
        </w:rPr>
      </w:pPr>
      <w:proofErr w:type="gramStart"/>
      <w:r w:rsidRPr="00D912D2">
        <w:rPr>
          <w:rFonts w:cs="Times New Roman"/>
          <w:szCs w:val="20"/>
          <w:lang w:eastAsia="fr-FR"/>
        </w:rPr>
        <w:t>les</w:t>
      </w:r>
      <w:proofErr w:type="gramEnd"/>
      <w:r w:rsidRPr="00D912D2">
        <w:rPr>
          <w:rFonts w:cs="Times New Roman"/>
          <w:szCs w:val="20"/>
          <w:lang w:eastAsia="fr-FR"/>
        </w:rPr>
        <w:t xml:space="preserve"> grands organismes publics de recherche</w:t>
      </w:r>
      <w:r w:rsidR="00F71DFE" w:rsidRPr="00D912D2">
        <w:rPr>
          <w:rFonts w:cs="Times New Roman"/>
          <w:szCs w:val="20"/>
          <w:lang w:eastAsia="fr-FR"/>
        </w:rPr>
        <w:t> ;</w:t>
      </w:r>
    </w:p>
    <w:p w14:paraId="211278FB" w14:textId="595F4514" w:rsidR="00A65A81" w:rsidRPr="00D912D2" w:rsidRDefault="005548CC" w:rsidP="007D6B57">
      <w:pPr>
        <w:numPr>
          <w:ilvl w:val="0"/>
          <w:numId w:val="10"/>
        </w:numPr>
        <w:spacing w:before="60" w:line="276" w:lineRule="auto"/>
        <w:ind w:left="714" w:hanging="357"/>
        <w:rPr>
          <w:rFonts w:cs="Times New Roman"/>
          <w:szCs w:val="20"/>
          <w:lang w:eastAsia="fr-FR"/>
        </w:rPr>
      </w:pPr>
      <w:proofErr w:type="gramStart"/>
      <w:r w:rsidRPr="00D912D2">
        <w:rPr>
          <w:rFonts w:cs="Times New Roman"/>
          <w:szCs w:val="20"/>
          <w:lang w:eastAsia="fr-FR"/>
        </w:rPr>
        <w:t>les</w:t>
      </w:r>
      <w:proofErr w:type="gramEnd"/>
      <w:r w:rsidRPr="00D912D2">
        <w:rPr>
          <w:rFonts w:cs="Times New Roman"/>
          <w:szCs w:val="20"/>
          <w:lang w:eastAsia="fr-FR"/>
        </w:rPr>
        <w:t xml:space="preserve"> écoles supérieures de droit privé bénéficiant d’agréments ministériels pour la dé</w:t>
      </w:r>
      <w:r w:rsidR="008C26E0" w:rsidRPr="00D912D2">
        <w:rPr>
          <w:rFonts w:cs="Times New Roman"/>
          <w:szCs w:val="20"/>
          <w:lang w:eastAsia="fr-FR"/>
        </w:rPr>
        <w:t>livrance de diplômes de niveau m</w:t>
      </w:r>
      <w:r w:rsidRPr="00D912D2">
        <w:rPr>
          <w:rFonts w:cs="Times New Roman"/>
          <w:szCs w:val="20"/>
          <w:lang w:eastAsia="fr-FR"/>
        </w:rPr>
        <w:t>aster minimum et d’agréments pour la conduite d’activités de recherche scientifique</w:t>
      </w:r>
      <w:r w:rsidR="00F71DFE" w:rsidRPr="00D912D2">
        <w:rPr>
          <w:rFonts w:cs="Times New Roman"/>
          <w:szCs w:val="20"/>
          <w:lang w:eastAsia="fr-FR"/>
        </w:rPr>
        <w:t> ;</w:t>
      </w:r>
    </w:p>
    <w:p w14:paraId="3DE34A10" w14:textId="02DB5EDF" w:rsidR="000F6130" w:rsidRPr="00D912D2" w:rsidRDefault="005548CC" w:rsidP="00DF37F7">
      <w:pPr>
        <w:pStyle w:val="Paragraphedeliste"/>
        <w:numPr>
          <w:ilvl w:val="0"/>
          <w:numId w:val="10"/>
        </w:numPr>
        <w:spacing w:before="60" w:line="276" w:lineRule="auto"/>
        <w:ind w:left="714" w:hanging="357"/>
        <w:rPr>
          <w:rFonts w:cs="Times New Roman"/>
          <w:szCs w:val="20"/>
          <w:lang w:eastAsia="fr-FR"/>
        </w:rPr>
      </w:pPr>
      <w:proofErr w:type="gramStart"/>
      <w:r w:rsidRPr="00D912D2">
        <w:rPr>
          <w:rFonts w:cs="Times New Roman"/>
          <w:szCs w:val="20"/>
          <w:lang w:eastAsia="fr-FR"/>
        </w:rPr>
        <w:t>les</w:t>
      </w:r>
      <w:proofErr w:type="gramEnd"/>
      <w:r w:rsidRPr="00D912D2">
        <w:rPr>
          <w:rFonts w:cs="Times New Roman"/>
          <w:szCs w:val="20"/>
          <w:lang w:eastAsia="fr-FR"/>
        </w:rPr>
        <w:t xml:space="preserve"> </w:t>
      </w:r>
      <w:r w:rsidR="000F6130" w:rsidRPr="00D912D2">
        <w:rPr>
          <w:rFonts w:cs="Times New Roman"/>
          <w:szCs w:val="20"/>
          <w:lang w:eastAsia="fr-FR"/>
        </w:rPr>
        <w:t>g</w:t>
      </w:r>
      <w:r w:rsidRPr="00D912D2">
        <w:rPr>
          <w:rFonts w:cs="Times New Roman"/>
          <w:szCs w:val="20"/>
          <w:lang w:eastAsia="fr-FR"/>
        </w:rPr>
        <w:t>roupements d’intérêt public (GIP)</w:t>
      </w:r>
      <w:r w:rsidR="00C1499A" w:rsidRPr="00D912D2">
        <w:rPr>
          <w:rFonts w:cs="Times New Roman"/>
          <w:szCs w:val="20"/>
          <w:lang w:eastAsia="fr-FR"/>
        </w:rPr>
        <w:t xml:space="preserve">, les fondations de coopération scientifique </w:t>
      </w:r>
      <w:r w:rsidR="000F6130" w:rsidRPr="00D912D2">
        <w:rPr>
          <w:rFonts w:cs="Times New Roman"/>
          <w:szCs w:val="20"/>
          <w:lang w:eastAsia="fr-FR"/>
        </w:rPr>
        <w:t xml:space="preserve">et </w:t>
      </w:r>
      <w:r w:rsidR="00C1499A" w:rsidRPr="00D912D2">
        <w:rPr>
          <w:rFonts w:cs="Times New Roman"/>
          <w:szCs w:val="20"/>
          <w:lang w:eastAsia="fr-FR"/>
        </w:rPr>
        <w:t xml:space="preserve">les </w:t>
      </w:r>
      <w:r w:rsidR="000F6130" w:rsidRPr="00D912D2">
        <w:rPr>
          <w:rFonts w:cs="Times New Roman"/>
          <w:szCs w:val="20"/>
          <w:lang w:eastAsia="fr-FR"/>
        </w:rPr>
        <w:t xml:space="preserve">associations à but non lucratif ayant </w:t>
      </w:r>
      <w:r w:rsidRPr="00D912D2">
        <w:rPr>
          <w:rFonts w:cs="Times New Roman"/>
          <w:szCs w:val="20"/>
          <w:lang w:eastAsia="fr-FR"/>
        </w:rPr>
        <w:t>pour objectif la mise en œuvre d'activités de recherche et</w:t>
      </w:r>
      <w:r w:rsidR="00235123" w:rsidRPr="00D912D2">
        <w:rPr>
          <w:rFonts w:cs="Times New Roman"/>
          <w:szCs w:val="20"/>
          <w:lang w:eastAsia="fr-FR"/>
        </w:rPr>
        <w:t xml:space="preserve"> de développement technologique</w:t>
      </w:r>
      <w:r w:rsidR="00F71DFE" w:rsidRPr="00D912D2">
        <w:rPr>
          <w:rFonts w:cs="Times New Roman"/>
          <w:szCs w:val="20"/>
          <w:lang w:eastAsia="fr-FR"/>
        </w:rPr>
        <w:t>.</w:t>
      </w:r>
    </w:p>
    <w:p w14:paraId="5E8C5CAB" w14:textId="1EA2919E" w:rsidR="00A65A81" w:rsidRPr="00D912D2" w:rsidRDefault="00A65A81" w:rsidP="004C290B">
      <w:pPr>
        <w:spacing w:before="120" w:line="276" w:lineRule="auto"/>
        <w:rPr>
          <w:szCs w:val="20"/>
        </w:rPr>
      </w:pPr>
    </w:p>
    <w:p w14:paraId="37B7593B" w14:textId="4753B925" w:rsidR="001C781C" w:rsidRPr="00D912D2" w:rsidRDefault="00075C80" w:rsidP="001C781C">
      <w:pPr>
        <w:pBdr>
          <w:top w:val="single" w:sz="12" w:space="4" w:color="000000"/>
          <w:left w:val="single" w:sz="12" w:space="4" w:color="000000"/>
          <w:bottom w:val="single" w:sz="12" w:space="1" w:color="000000"/>
          <w:right w:val="single" w:sz="12" w:space="4" w:color="000000"/>
        </w:pBdr>
        <w:spacing w:line="240" w:lineRule="auto"/>
        <w:outlineLvl w:val="0"/>
        <w:rPr>
          <w:rFonts w:cs="Times New Roman"/>
          <w:bCs/>
          <w:iCs/>
          <w:color w:val="000000"/>
          <w:kern w:val="36"/>
          <w:szCs w:val="20"/>
          <w:lang w:eastAsia="fr-FR"/>
        </w:rPr>
      </w:pPr>
      <w:r w:rsidRPr="00D912D2">
        <w:rPr>
          <w:rFonts w:cs="Times New Roman"/>
          <w:b/>
          <w:bCs/>
          <w:i/>
          <w:iCs/>
          <w:color w:val="000000"/>
          <w:kern w:val="36"/>
          <w:szCs w:val="20"/>
          <w:lang w:eastAsia="fr-FR"/>
        </w:rPr>
        <w:t>3</w:t>
      </w:r>
      <w:r w:rsidR="001C781C" w:rsidRPr="00D912D2">
        <w:rPr>
          <w:rFonts w:cs="Times New Roman"/>
          <w:b/>
          <w:bCs/>
          <w:i/>
          <w:iCs/>
          <w:color w:val="000000"/>
          <w:kern w:val="36"/>
          <w:szCs w:val="20"/>
          <w:lang w:eastAsia="fr-FR"/>
        </w:rPr>
        <w:t>– STRAT</w:t>
      </w:r>
      <w:r w:rsidR="00B06596" w:rsidRPr="00D912D2">
        <w:rPr>
          <w:b/>
          <w:i/>
          <w:iCs/>
          <w:szCs w:val="20"/>
        </w:rPr>
        <w:t>É</w:t>
      </w:r>
      <w:r w:rsidR="001C781C" w:rsidRPr="00D912D2">
        <w:rPr>
          <w:rFonts w:cs="Times New Roman"/>
          <w:b/>
          <w:bCs/>
          <w:i/>
          <w:iCs/>
          <w:color w:val="000000"/>
          <w:kern w:val="36"/>
          <w:szCs w:val="20"/>
          <w:lang w:eastAsia="fr-FR"/>
        </w:rPr>
        <w:t>GIE R</w:t>
      </w:r>
      <w:r w:rsidR="00B06596" w:rsidRPr="00D912D2">
        <w:rPr>
          <w:b/>
          <w:i/>
          <w:iCs/>
          <w:szCs w:val="20"/>
        </w:rPr>
        <w:t>É</w:t>
      </w:r>
      <w:r w:rsidR="001C781C" w:rsidRPr="00D912D2">
        <w:rPr>
          <w:rFonts w:cs="Times New Roman"/>
          <w:b/>
          <w:bCs/>
          <w:i/>
          <w:iCs/>
          <w:color w:val="000000"/>
          <w:kern w:val="36"/>
          <w:szCs w:val="20"/>
          <w:lang w:eastAsia="fr-FR"/>
        </w:rPr>
        <w:t>GIONALE DE RECHERCHE ET D’INNOVATION (S3)</w:t>
      </w:r>
      <w:r w:rsidRPr="00D912D2">
        <w:rPr>
          <w:rStyle w:val="Appelnotedebasdep"/>
          <w:rFonts w:cs="Times New Roman"/>
          <w:b/>
          <w:bCs/>
          <w:i/>
          <w:iCs/>
          <w:color w:val="000000"/>
          <w:kern w:val="36"/>
          <w:szCs w:val="20"/>
          <w:lang w:eastAsia="fr-FR"/>
        </w:rPr>
        <w:footnoteReference w:id="2"/>
      </w:r>
    </w:p>
    <w:p w14:paraId="2D21FA84" w14:textId="01B656A8" w:rsidR="001C781C" w:rsidRPr="00D912D2" w:rsidRDefault="00D814E9" w:rsidP="00D401A3">
      <w:pPr>
        <w:spacing w:before="240" w:line="240" w:lineRule="auto"/>
        <w:rPr>
          <w:rFonts w:cs="Arial"/>
          <w:color w:val="000000"/>
          <w:szCs w:val="20"/>
          <w:lang w:eastAsia="fr-FR"/>
        </w:rPr>
      </w:pPr>
      <w:r>
        <w:rPr>
          <w:rStyle w:val="ui-provider"/>
        </w:rPr>
        <w:t xml:space="preserve">Le Conseil régional a adopté en 2020 sa Stratégie régionale Recherche et Innovation (S3 – Smart </w:t>
      </w:r>
      <w:proofErr w:type="spellStart"/>
      <w:r>
        <w:rPr>
          <w:rStyle w:val="ui-provider"/>
        </w:rPr>
        <w:t>Specialisation</w:t>
      </w:r>
      <w:proofErr w:type="spellEnd"/>
      <w:r>
        <w:rPr>
          <w:rStyle w:val="ui-provider"/>
        </w:rPr>
        <w:t xml:space="preserve"> </w:t>
      </w:r>
      <w:proofErr w:type="spellStart"/>
      <w:r>
        <w:rPr>
          <w:rStyle w:val="ui-provider"/>
        </w:rPr>
        <w:t>Strategy</w:t>
      </w:r>
      <w:proofErr w:type="spellEnd"/>
      <w:r>
        <w:rPr>
          <w:rStyle w:val="ui-provider"/>
        </w:rPr>
        <w:t xml:space="preserve">) pour la période 2021-2027 intégrée dans le cadre plus global de la stratégie régionale des transitions économiques et sociales (SRTES) votée en avril 2023. </w:t>
      </w:r>
      <w:r>
        <w:rPr>
          <w:rFonts w:cs="Times New Roman"/>
          <w:color w:val="000000"/>
          <w:szCs w:val="20"/>
          <w:lang w:eastAsia="fr-FR"/>
        </w:rPr>
        <w:t>L</w:t>
      </w:r>
      <w:r w:rsidR="001C781C" w:rsidRPr="00D912D2">
        <w:rPr>
          <w:rFonts w:cs="Times New Roman"/>
          <w:color w:val="000000"/>
          <w:szCs w:val="20"/>
          <w:lang w:eastAsia="fr-FR"/>
        </w:rPr>
        <w:t>a S3</w:t>
      </w:r>
      <w:r w:rsidR="00D0083F">
        <w:rPr>
          <w:rFonts w:cs="Times New Roman"/>
          <w:color w:val="000000"/>
          <w:szCs w:val="20"/>
          <w:lang w:eastAsia="fr-FR"/>
        </w:rPr>
        <w:t xml:space="preserve"> </w:t>
      </w:r>
      <w:r w:rsidR="001C781C" w:rsidRPr="00D912D2">
        <w:rPr>
          <w:rFonts w:cs="Times New Roman"/>
          <w:color w:val="000000"/>
          <w:szCs w:val="20"/>
          <w:lang w:eastAsia="fr-FR"/>
        </w:rPr>
        <w:t>s’appuie sur les domaines d’innovation stratégiques (DIS) suivants :</w:t>
      </w:r>
    </w:p>
    <w:p w14:paraId="0B946DA7" w14:textId="3133E5E6" w:rsidR="001C781C" w:rsidRPr="00D912D2" w:rsidRDefault="001C781C" w:rsidP="001C781C">
      <w:pPr>
        <w:spacing w:before="120" w:line="240" w:lineRule="auto"/>
        <w:rPr>
          <w:rFonts w:cs="Arial"/>
          <w:b/>
          <w:color w:val="000000"/>
          <w:szCs w:val="20"/>
          <w:lang w:eastAsia="fr-FR"/>
        </w:rPr>
      </w:pPr>
      <w:r w:rsidRPr="00D912D2">
        <w:rPr>
          <w:rFonts w:cs="Arial"/>
          <w:b/>
          <w:color w:val="000000"/>
          <w:szCs w:val="20"/>
          <w:lang w:eastAsia="fr-FR"/>
        </w:rPr>
        <w:t xml:space="preserve">1 / </w:t>
      </w:r>
      <w:r w:rsidR="001F7215" w:rsidRPr="00D912D2">
        <w:rPr>
          <w:rFonts w:cs="Arial"/>
          <w:b/>
          <w:color w:val="000000"/>
          <w:szCs w:val="20"/>
          <w:lang w:eastAsia="fr-FR"/>
        </w:rPr>
        <w:t>é</w:t>
      </w:r>
      <w:r w:rsidRPr="00D912D2">
        <w:rPr>
          <w:rFonts w:cs="Arial"/>
          <w:b/>
          <w:color w:val="000000"/>
          <w:szCs w:val="20"/>
          <w:lang w:eastAsia="fr-FR"/>
        </w:rPr>
        <w:t>conomie maritime pour une croissance bleue ;</w:t>
      </w:r>
    </w:p>
    <w:p w14:paraId="583F4F06" w14:textId="2F0773EF" w:rsidR="001C781C" w:rsidRPr="00D912D2" w:rsidRDefault="001C781C" w:rsidP="001C781C">
      <w:pPr>
        <w:spacing w:before="120" w:line="240" w:lineRule="auto"/>
        <w:rPr>
          <w:rFonts w:cs="Arial"/>
          <w:b/>
          <w:color w:val="000000"/>
          <w:szCs w:val="20"/>
          <w:lang w:eastAsia="fr-FR"/>
        </w:rPr>
      </w:pPr>
      <w:r w:rsidRPr="00D912D2">
        <w:rPr>
          <w:rFonts w:cs="Arial"/>
          <w:b/>
          <w:color w:val="000000"/>
          <w:szCs w:val="20"/>
          <w:lang w:eastAsia="fr-FR"/>
        </w:rPr>
        <w:t xml:space="preserve">2 / </w:t>
      </w:r>
      <w:r w:rsidR="001F7215" w:rsidRPr="00D912D2">
        <w:rPr>
          <w:rFonts w:cs="Arial"/>
          <w:b/>
          <w:color w:val="000000"/>
          <w:szCs w:val="20"/>
          <w:lang w:eastAsia="fr-FR"/>
        </w:rPr>
        <w:t>é</w:t>
      </w:r>
      <w:r w:rsidRPr="00D912D2">
        <w:rPr>
          <w:rFonts w:cs="Arial"/>
          <w:b/>
          <w:color w:val="000000"/>
          <w:szCs w:val="20"/>
          <w:lang w:eastAsia="fr-FR"/>
        </w:rPr>
        <w:t>conomie alimentaire du bien manger pour tous ;</w:t>
      </w:r>
    </w:p>
    <w:p w14:paraId="0FC76B3B" w14:textId="4BF76753" w:rsidR="001C781C" w:rsidRPr="00D912D2" w:rsidRDefault="001C781C" w:rsidP="001C781C">
      <w:pPr>
        <w:spacing w:before="120" w:line="240" w:lineRule="auto"/>
        <w:rPr>
          <w:rFonts w:cs="Arial"/>
          <w:b/>
          <w:color w:val="000000"/>
          <w:szCs w:val="20"/>
          <w:lang w:eastAsia="fr-FR"/>
        </w:rPr>
      </w:pPr>
      <w:r w:rsidRPr="00D912D2">
        <w:rPr>
          <w:rFonts w:cs="Arial"/>
          <w:b/>
          <w:color w:val="000000"/>
          <w:szCs w:val="20"/>
          <w:lang w:eastAsia="fr-FR"/>
        </w:rPr>
        <w:t xml:space="preserve">3 / </w:t>
      </w:r>
      <w:r w:rsidR="001F7215" w:rsidRPr="00D912D2">
        <w:rPr>
          <w:rFonts w:cs="Arial"/>
          <w:b/>
          <w:color w:val="000000"/>
          <w:szCs w:val="20"/>
          <w:lang w:eastAsia="fr-FR"/>
        </w:rPr>
        <w:t>é</w:t>
      </w:r>
      <w:r w:rsidRPr="00D912D2">
        <w:rPr>
          <w:rFonts w:cs="Arial"/>
          <w:b/>
          <w:color w:val="000000"/>
          <w:szCs w:val="20"/>
          <w:lang w:eastAsia="fr-FR"/>
        </w:rPr>
        <w:t>conomie numérique sécurisée et responsable ;</w:t>
      </w:r>
    </w:p>
    <w:p w14:paraId="706965EF" w14:textId="6D43AA46" w:rsidR="001C781C" w:rsidRPr="00D912D2" w:rsidRDefault="001C781C" w:rsidP="001C781C">
      <w:pPr>
        <w:spacing w:before="120" w:line="240" w:lineRule="auto"/>
        <w:rPr>
          <w:rFonts w:cs="Arial"/>
          <w:b/>
          <w:color w:val="000000"/>
          <w:szCs w:val="20"/>
          <w:lang w:eastAsia="fr-FR"/>
        </w:rPr>
      </w:pPr>
      <w:r w:rsidRPr="00D912D2">
        <w:rPr>
          <w:rFonts w:cs="Arial"/>
          <w:b/>
          <w:color w:val="000000"/>
          <w:szCs w:val="20"/>
          <w:lang w:eastAsia="fr-FR"/>
        </w:rPr>
        <w:t xml:space="preserve">4 / </w:t>
      </w:r>
      <w:r w:rsidR="001F7215" w:rsidRPr="00D912D2">
        <w:rPr>
          <w:rFonts w:cs="Arial"/>
          <w:b/>
          <w:color w:val="000000"/>
          <w:szCs w:val="20"/>
          <w:lang w:eastAsia="fr-FR"/>
        </w:rPr>
        <w:t>é</w:t>
      </w:r>
      <w:r w:rsidRPr="00D912D2">
        <w:rPr>
          <w:rFonts w:cs="Arial"/>
          <w:b/>
          <w:color w:val="000000"/>
          <w:szCs w:val="20"/>
          <w:lang w:eastAsia="fr-FR"/>
        </w:rPr>
        <w:t>conomie de la santé et du bien-être pour une meilleure qualité de vie ;</w:t>
      </w:r>
    </w:p>
    <w:p w14:paraId="1678882C" w14:textId="57E83870" w:rsidR="001C781C" w:rsidRPr="00D912D2" w:rsidRDefault="001C781C" w:rsidP="001C781C">
      <w:pPr>
        <w:spacing w:before="120" w:line="240" w:lineRule="auto"/>
        <w:rPr>
          <w:rFonts w:cs="Arial"/>
          <w:b/>
          <w:color w:val="000000"/>
          <w:szCs w:val="20"/>
          <w:lang w:eastAsia="fr-FR"/>
        </w:rPr>
      </w:pPr>
      <w:r w:rsidRPr="00D912D2">
        <w:rPr>
          <w:rFonts w:cs="Arial"/>
          <w:b/>
          <w:color w:val="000000"/>
          <w:szCs w:val="20"/>
          <w:lang w:eastAsia="fr-FR"/>
        </w:rPr>
        <w:t xml:space="preserve">5 / </w:t>
      </w:r>
      <w:r w:rsidR="001F7215" w:rsidRPr="00D912D2">
        <w:rPr>
          <w:rFonts w:cs="Arial"/>
          <w:b/>
          <w:color w:val="000000"/>
          <w:szCs w:val="20"/>
          <w:lang w:eastAsia="fr-FR"/>
        </w:rPr>
        <w:t>é</w:t>
      </w:r>
      <w:r w:rsidRPr="00D912D2">
        <w:rPr>
          <w:rFonts w:cs="Arial"/>
          <w:b/>
          <w:color w:val="000000"/>
          <w:szCs w:val="20"/>
          <w:lang w:eastAsia="fr-FR"/>
        </w:rPr>
        <w:t>conomie de l’industrie pour une production intelligente.</w:t>
      </w:r>
    </w:p>
    <w:p w14:paraId="290CCDB0" w14:textId="77777777" w:rsidR="001C781C" w:rsidRPr="00D912D2" w:rsidRDefault="001C781C" w:rsidP="001C781C">
      <w:pPr>
        <w:spacing w:before="120" w:line="240" w:lineRule="auto"/>
        <w:rPr>
          <w:rFonts w:cs="Times New Roman"/>
          <w:color w:val="000000"/>
          <w:szCs w:val="20"/>
          <w:lang w:eastAsia="fr-FR"/>
        </w:rPr>
      </w:pPr>
      <w:r w:rsidRPr="00D912D2">
        <w:rPr>
          <w:rFonts w:cs="Times New Roman"/>
          <w:color w:val="000000"/>
          <w:szCs w:val="20"/>
          <w:lang w:eastAsia="fr-FR"/>
        </w:rPr>
        <w:t xml:space="preserve">Ces DIS sont des domaines d’activité porteurs et innovants pour lesquels la région a des « atouts comparatifs ». Cette grille d’analyse originale doit faire émerger des pistes d’innovations aussi bien technologiques que sociétales, dans une démarche d’excellence, et de visibilité européenne et internationale.  </w:t>
      </w:r>
    </w:p>
    <w:p w14:paraId="6B3B9A46" w14:textId="2615B5DF" w:rsidR="001C781C" w:rsidRPr="00D912D2" w:rsidRDefault="001C781C" w:rsidP="001C781C">
      <w:pPr>
        <w:spacing w:before="120" w:line="240" w:lineRule="auto"/>
        <w:rPr>
          <w:rFonts w:cs="Times New Roman"/>
          <w:color w:val="000000"/>
          <w:szCs w:val="20"/>
          <w:lang w:eastAsia="fr-FR"/>
        </w:rPr>
      </w:pPr>
      <w:r w:rsidRPr="00D912D2">
        <w:rPr>
          <w:rFonts w:cs="Times New Roman"/>
          <w:color w:val="000000"/>
          <w:szCs w:val="20"/>
          <w:lang w:eastAsia="fr-FR"/>
        </w:rPr>
        <w:t>Les cinq DIS sont complétés par un axe transversal visant à répondre aux enjeux des transitions et décliné ainsi :</w:t>
      </w:r>
    </w:p>
    <w:p w14:paraId="689A5841" w14:textId="68A11E14" w:rsidR="001C781C" w:rsidRPr="00D912D2" w:rsidRDefault="001F7215" w:rsidP="001C781C">
      <w:pPr>
        <w:pStyle w:val="Paragraphedeliste"/>
        <w:numPr>
          <w:ilvl w:val="0"/>
          <w:numId w:val="16"/>
        </w:numPr>
        <w:spacing w:before="120" w:line="276" w:lineRule="auto"/>
        <w:rPr>
          <w:rFonts w:cs="Arial"/>
          <w:b/>
          <w:color w:val="000000"/>
          <w:szCs w:val="20"/>
          <w:lang w:eastAsia="fr-FR"/>
        </w:rPr>
      </w:pPr>
      <w:proofErr w:type="gramStart"/>
      <w:r w:rsidRPr="00D912D2">
        <w:rPr>
          <w:rFonts w:cs="Arial"/>
          <w:b/>
          <w:color w:val="000000"/>
          <w:szCs w:val="20"/>
          <w:lang w:eastAsia="fr-FR"/>
        </w:rPr>
        <w:t>l</w:t>
      </w:r>
      <w:r w:rsidR="001C781C" w:rsidRPr="00D912D2">
        <w:rPr>
          <w:rFonts w:cs="Arial"/>
          <w:b/>
          <w:color w:val="000000"/>
          <w:szCs w:val="20"/>
          <w:lang w:eastAsia="fr-FR"/>
        </w:rPr>
        <w:t>es</w:t>
      </w:r>
      <w:proofErr w:type="gramEnd"/>
      <w:r w:rsidR="001C781C" w:rsidRPr="00D912D2">
        <w:rPr>
          <w:rFonts w:cs="Arial"/>
          <w:b/>
          <w:color w:val="000000"/>
          <w:szCs w:val="20"/>
          <w:lang w:eastAsia="fr-FR"/>
        </w:rPr>
        <w:t xml:space="preserve"> transitions</w:t>
      </w:r>
      <w:r w:rsidR="00F11973">
        <w:rPr>
          <w:rFonts w:cs="Arial"/>
          <w:b/>
          <w:color w:val="000000"/>
          <w:szCs w:val="20"/>
          <w:lang w:eastAsia="fr-FR"/>
        </w:rPr>
        <w:t xml:space="preserve"> climatique et écologique</w:t>
      </w:r>
      <w:r w:rsidR="001C781C" w:rsidRPr="00D912D2">
        <w:rPr>
          <w:rFonts w:cs="Arial"/>
          <w:b/>
          <w:color w:val="000000"/>
          <w:szCs w:val="20"/>
          <w:lang w:eastAsia="fr-FR"/>
        </w:rPr>
        <w:t xml:space="preserve"> ;</w:t>
      </w:r>
    </w:p>
    <w:p w14:paraId="09909F0E" w14:textId="439FE22B" w:rsidR="001C781C" w:rsidRPr="00D912D2" w:rsidRDefault="00D0083F" w:rsidP="001C781C">
      <w:pPr>
        <w:pStyle w:val="Paragraphedeliste"/>
        <w:numPr>
          <w:ilvl w:val="0"/>
          <w:numId w:val="16"/>
        </w:numPr>
        <w:spacing w:before="120" w:line="276" w:lineRule="auto"/>
        <w:rPr>
          <w:rFonts w:cs="Arial"/>
          <w:b/>
          <w:color w:val="000000"/>
          <w:szCs w:val="20"/>
          <w:lang w:eastAsia="fr-FR"/>
        </w:rPr>
      </w:pPr>
      <w:proofErr w:type="gramStart"/>
      <w:r>
        <w:rPr>
          <w:rFonts w:cs="Arial"/>
          <w:b/>
          <w:color w:val="000000"/>
          <w:szCs w:val="20"/>
          <w:lang w:eastAsia="fr-FR"/>
        </w:rPr>
        <w:t>la</w:t>
      </w:r>
      <w:proofErr w:type="gramEnd"/>
      <w:r>
        <w:rPr>
          <w:rFonts w:cs="Arial"/>
          <w:b/>
          <w:color w:val="000000"/>
          <w:szCs w:val="20"/>
          <w:lang w:eastAsia="fr-FR"/>
        </w:rPr>
        <w:t xml:space="preserve"> cohésion et l’inclusion sociale</w:t>
      </w:r>
      <w:r w:rsidR="001C781C" w:rsidRPr="00D912D2">
        <w:rPr>
          <w:rFonts w:cs="Arial"/>
          <w:b/>
          <w:color w:val="000000"/>
          <w:szCs w:val="20"/>
          <w:lang w:eastAsia="fr-FR"/>
        </w:rPr>
        <w:t>.</w:t>
      </w:r>
    </w:p>
    <w:p w14:paraId="0C32A465" w14:textId="77777777" w:rsidR="001C781C" w:rsidRPr="00D912D2" w:rsidRDefault="001C781C" w:rsidP="001C781C">
      <w:pPr>
        <w:spacing w:before="120" w:line="276" w:lineRule="auto"/>
        <w:rPr>
          <w:rFonts w:cs="Arial"/>
          <w:color w:val="000000"/>
          <w:szCs w:val="20"/>
          <w:lang w:eastAsia="fr-FR"/>
        </w:rPr>
      </w:pPr>
      <w:r w:rsidRPr="00D912D2">
        <w:rPr>
          <w:rFonts w:cs="Arial"/>
          <w:color w:val="000000"/>
          <w:szCs w:val="20"/>
          <w:lang w:eastAsia="fr-FR"/>
        </w:rPr>
        <w:t>Il s’agit d’accompagner les processus de recherche et d’innovation pour l’émergence d’activités et de technologies nouvelles, permettant de favoriser une économie sobre, de proximité et solidaire.</w:t>
      </w:r>
    </w:p>
    <w:p w14:paraId="5DB91B96" w14:textId="202EF5B4" w:rsidR="001C781C" w:rsidRDefault="001C781C" w:rsidP="001C781C">
      <w:pPr>
        <w:spacing w:before="120" w:line="240" w:lineRule="auto"/>
        <w:rPr>
          <w:rFonts w:cs="Times New Roman"/>
          <w:color w:val="000000"/>
          <w:szCs w:val="20"/>
          <w:lang w:eastAsia="fr-FR"/>
        </w:rPr>
      </w:pPr>
      <w:r w:rsidRPr="00D912D2">
        <w:rPr>
          <w:rFonts w:cs="Times New Roman"/>
          <w:color w:val="000000"/>
          <w:szCs w:val="20"/>
          <w:lang w:eastAsia="fr-FR"/>
        </w:rPr>
        <w:t>L’inscription des projets de recherche dans les DIS et dans l’axe transversal relatif aux transitions doit permettre d’accélérer le transfert des connaissances produites dans le cadre des activités postdoctorales et de favoriser le dialogue entre la recherche académique, et les acteurs du développement économique et de l’innovation. Les projets de recherche qui répondront aux objectifs de cette Stratégie régionale de recherche et d’innovation seront priorisés.</w:t>
      </w:r>
    </w:p>
    <w:p w14:paraId="4494B2E3" w14:textId="77777777" w:rsidR="00D0083F" w:rsidRDefault="00D0083F" w:rsidP="001C781C">
      <w:pPr>
        <w:spacing w:before="120" w:line="240" w:lineRule="auto"/>
        <w:rPr>
          <w:rFonts w:cs="Times New Roman"/>
          <w:color w:val="000000"/>
          <w:szCs w:val="20"/>
          <w:lang w:eastAsia="fr-FR"/>
        </w:rPr>
      </w:pPr>
    </w:p>
    <w:p w14:paraId="19AFA596" w14:textId="3FA51B39" w:rsidR="00D27CBE" w:rsidRDefault="00D27CBE" w:rsidP="001C781C">
      <w:pPr>
        <w:spacing w:before="120" w:line="240" w:lineRule="auto"/>
        <w:rPr>
          <w:rFonts w:cs="Times New Roman"/>
          <w:color w:val="000000"/>
          <w:szCs w:val="20"/>
          <w:lang w:eastAsia="fr-FR"/>
        </w:rPr>
      </w:pPr>
    </w:p>
    <w:p w14:paraId="3C123B0A" w14:textId="77777777" w:rsidR="006C6F69" w:rsidRPr="00D912D2" w:rsidRDefault="006C6F69" w:rsidP="001C781C">
      <w:pPr>
        <w:spacing w:before="120" w:line="240" w:lineRule="auto"/>
        <w:rPr>
          <w:rFonts w:cs="Times New Roman"/>
          <w:color w:val="000000"/>
          <w:szCs w:val="20"/>
          <w:lang w:eastAsia="fr-FR"/>
        </w:rPr>
      </w:pPr>
      <w:bookmarkStart w:id="0" w:name="_GoBack"/>
      <w:bookmarkEnd w:id="0"/>
    </w:p>
    <w:p w14:paraId="5ED59005" w14:textId="13F00EA2" w:rsidR="00817ACA" w:rsidRPr="00D912D2" w:rsidRDefault="00817ACA" w:rsidP="00817ACA">
      <w:pPr>
        <w:pBdr>
          <w:top w:val="single" w:sz="12" w:space="4" w:color="000000"/>
          <w:left w:val="single" w:sz="12" w:space="4" w:color="000000"/>
          <w:bottom w:val="single" w:sz="12" w:space="1" w:color="000000"/>
          <w:right w:val="single" w:sz="12" w:space="4" w:color="000000"/>
        </w:pBdr>
        <w:spacing w:line="240" w:lineRule="auto"/>
        <w:outlineLvl w:val="0"/>
        <w:rPr>
          <w:rFonts w:cs="Times New Roman"/>
          <w:b/>
          <w:bCs/>
          <w:i/>
          <w:iCs/>
          <w:color w:val="000000"/>
          <w:kern w:val="36"/>
          <w:szCs w:val="20"/>
          <w:lang w:eastAsia="fr-FR"/>
        </w:rPr>
      </w:pPr>
      <w:r w:rsidRPr="00D912D2">
        <w:rPr>
          <w:rFonts w:cs="Times New Roman"/>
          <w:b/>
          <w:i/>
          <w:color w:val="000000"/>
          <w:szCs w:val="20"/>
          <w:lang w:eastAsia="fr-FR"/>
        </w:rPr>
        <w:lastRenderedPageBreak/>
        <w:t>4</w:t>
      </w:r>
      <w:r w:rsidRPr="00D912D2">
        <w:rPr>
          <w:rFonts w:cs="Times New Roman"/>
          <w:b/>
          <w:bCs/>
          <w:i/>
          <w:iCs/>
          <w:color w:val="000000"/>
          <w:kern w:val="36"/>
          <w:szCs w:val="20"/>
          <w:lang w:eastAsia="fr-FR"/>
        </w:rPr>
        <w:t>- IDENTIFICATION DE PRIORIT</w:t>
      </w:r>
      <w:r w:rsidR="001F7215" w:rsidRPr="00D912D2">
        <w:rPr>
          <w:b/>
          <w:i/>
          <w:iCs/>
          <w:szCs w:val="20"/>
        </w:rPr>
        <w:t>É</w:t>
      </w:r>
      <w:r w:rsidRPr="00D912D2">
        <w:rPr>
          <w:rFonts w:cs="Times New Roman"/>
          <w:b/>
          <w:bCs/>
          <w:i/>
          <w:iCs/>
          <w:color w:val="000000"/>
          <w:kern w:val="36"/>
          <w:szCs w:val="20"/>
          <w:lang w:eastAsia="fr-FR"/>
        </w:rPr>
        <w:t>S R</w:t>
      </w:r>
      <w:r w:rsidR="001F7215" w:rsidRPr="00D912D2">
        <w:rPr>
          <w:b/>
          <w:i/>
          <w:iCs/>
          <w:szCs w:val="20"/>
        </w:rPr>
        <w:t>É</w:t>
      </w:r>
      <w:r w:rsidRPr="00D912D2">
        <w:rPr>
          <w:rFonts w:cs="Times New Roman"/>
          <w:b/>
          <w:bCs/>
          <w:i/>
          <w:iCs/>
          <w:color w:val="000000"/>
          <w:kern w:val="36"/>
          <w:szCs w:val="20"/>
          <w:lang w:eastAsia="fr-FR"/>
        </w:rPr>
        <w:t xml:space="preserve">GIONALES </w:t>
      </w:r>
    </w:p>
    <w:p w14:paraId="4202FB1D" w14:textId="77777777" w:rsidR="00817ACA" w:rsidRPr="00D912D2" w:rsidRDefault="00817ACA" w:rsidP="00817ACA">
      <w:pPr>
        <w:spacing w:before="120" w:line="276" w:lineRule="auto"/>
        <w:rPr>
          <w:rFonts w:cs="Times New Roman"/>
          <w:color w:val="000000"/>
          <w:szCs w:val="20"/>
          <w:lang w:eastAsia="fr-FR"/>
        </w:rPr>
      </w:pPr>
    </w:p>
    <w:p w14:paraId="07686593" w14:textId="77777777" w:rsidR="00817ACA" w:rsidRPr="00D912D2" w:rsidRDefault="00817ACA" w:rsidP="00817ACA">
      <w:pPr>
        <w:rPr>
          <w:rFonts w:cs="Times New Roman"/>
          <w:color w:val="000000"/>
          <w:szCs w:val="20"/>
          <w:lang w:eastAsia="fr-FR"/>
        </w:rPr>
      </w:pPr>
      <w:r w:rsidRPr="00D912D2">
        <w:rPr>
          <w:rFonts w:cs="Times New Roman"/>
          <w:color w:val="000000"/>
          <w:szCs w:val="20"/>
          <w:lang w:eastAsia="fr-FR"/>
        </w:rPr>
        <w:t xml:space="preserve">En complément du cadre stratégique de la S3, quelques priorités régionales thématiques sont identifiées. Ces priorités transversales viennent répondre à des enjeux particuliers du territoire régional, et peuvent ainsi contribuer à structurer et à développer une thématique, qui pourrait ensuite s’inscrire dans un projet structurant national ou européen. Ces thématiques pourront pour partie être reconduites sur plusieurs années, et/ou pour partie être renouvelées. </w:t>
      </w:r>
    </w:p>
    <w:p w14:paraId="28954E26" w14:textId="77777777" w:rsidR="00537601" w:rsidRPr="00D912D2" w:rsidRDefault="00537601" w:rsidP="00817ACA">
      <w:pPr>
        <w:rPr>
          <w:rFonts w:cs="Times New Roman"/>
          <w:color w:val="000000"/>
          <w:szCs w:val="20"/>
          <w:lang w:eastAsia="fr-FR"/>
        </w:rPr>
      </w:pPr>
    </w:p>
    <w:p w14:paraId="4B0D6A4E" w14:textId="4F7313E1" w:rsidR="00817ACA" w:rsidRPr="00D912D2" w:rsidRDefault="00817ACA" w:rsidP="00817ACA">
      <w:pPr>
        <w:rPr>
          <w:rFonts w:cs="Times New Roman"/>
          <w:color w:val="000000"/>
          <w:szCs w:val="20"/>
          <w:lang w:eastAsia="fr-FR"/>
        </w:rPr>
      </w:pPr>
      <w:r w:rsidRPr="00D912D2">
        <w:rPr>
          <w:rFonts w:cs="Times New Roman"/>
          <w:color w:val="000000"/>
          <w:szCs w:val="20"/>
          <w:lang w:eastAsia="fr-FR"/>
        </w:rPr>
        <w:t>Pour 202</w:t>
      </w:r>
      <w:r w:rsidR="00AB5532">
        <w:rPr>
          <w:rFonts w:cs="Times New Roman"/>
          <w:color w:val="000000"/>
          <w:szCs w:val="20"/>
          <w:lang w:eastAsia="fr-FR"/>
        </w:rPr>
        <w:t>4</w:t>
      </w:r>
      <w:r w:rsidRPr="00D912D2">
        <w:rPr>
          <w:rFonts w:cs="Times New Roman"/>
          <w:color w:val="000000"/>
          <w:szCs w:val="20"/>
          <w:lang w:eastAsia="fr-FR"/>
        </w:rPr>
        <w:t xml:space="preserve">, il s’agit des </w:t>
      </w:r>
      <w:r w:rsidR="00AB5532">
        <w:rPr>
          <w:rFonts w:cs="Times New Roman"/>
          <w:color w:val="000000"/>
          <w:szCs w:val="20"/>
          <w:lang w:eastAsia="fr-FR"/>
        </w:rPr>
        <w:t>5</w:t>
      </w:r>
      <w:r w:rsidRPr="00D912D2">
        <w:rPr>
          <w:rFonts w:cs="Times New Roman"/>
          <w:color w:val="000000"/>
          <w:szCs w:val="20"/>
          <w:lang w:eastAsia="fr-FR"/>
        </w:rPr>
        <w:t xml:space="preserve"> défis prioritaires suivants : </w:t>
      </w:r>
    </w:p>
    <w:p w14:paraId="5BD82F2C" w14:textId="77777777" w:rsidR="00537601" w:rsidRPr="00D912D2" w:rsidRDefault="00537601" w:rsidP="00817ACA">
      <w:pPr>
        <w:rPr>
          <w:rFonts w:cs="Times New Roman"/>
          <w:color w:val="000000"/>
          <w:szCs w:val="20"/>
          <w:lang w:eastAsia="fr-FR"/>
        </w:rPr>
      </w:pPr>
    </w:p>
    <w:p w14:paraId="5CB40B20" w14:textId="7B6E0F93" w:rsidR="00817ACA" w:rsidRPr="00D912D2" w:rsidRDefault="00817ACA" w:rsidP="00817ACA">
      <w:pPr>
        <w:rPr>
          <w:rFonts w:cs="Times New Roman"/>
          <w:color w:val="000000"/>
          <w:szCs w:val="20"/>
          <w:lang w:eastAsia="fr-FR"/>
        </w:rPr>
      </w:pPr>
      <w:r w:rsidRPr="00D912D2">
        <w:rPr>
          <w:rFonts w:cs="Times New Roman"/>
          <w:color w:val="000000"/>
          <w:szCs w:val="20"/>
          <w:lang w:eastAsia="fr-FR"/>
        </w:rPr>
        <w:t>1-</w:t>
      </w:r>
      <w:r w:rsidR="00935FD0" w:rsidRPr="00D912D2">
        <w:rPr>
          <w:rFonts w:cs="Times New Roman"/>
          <w:i/>
          <w:color w:val="000000"/>
          <w:szCs w:val="20"/>
          <w:lang w:eastAsia="fr-FR"/>
        </w:rPr>
        <w:t>p</w:t>
      </w:r>
      <w:r w:rsidRPr="00D912D2">
        <w:rPr>
          <w:rFonts w:cs="Times New Roman"/>
          <w:i/>
          <w:color w:val="000000"/>
          <w:szCs w:val="20"/>
          <w:lang w:eastAsia="fr-FR"/>
        </w:rPr>
        <w:t xml:space="preserve">rojets dont la finalité contribuera à </w:t>
      </w:r>
      <w:r w:rsidRPr="00D912D2">
        <w:rPr>
          <w:rFonts w:cs="Times New Roman"/>
          <w:b/>
          <w:i/>
          <w:color w:val="000000"/>
          <w:szCs w:val="20"/>
          <w:lang w:eastAsia="fr-FR"/>
        </w:rPr>
        <w:t>l’atténuation et/ou à l’adaptation au changement climatique</w:t>
      </w:r>
      <w:r w:rsidRPr="00D912D2">
        <w:rPr>
          <w:rFonts w:cs="Times New Roman"/>
          <w:color w:val="000000"/>
          <w:szCs w:val="20"/>
          <w:lang w:eastAsia="fr-FR"/>
        </w:rPr>
        <w:t xml:space="preserve"> ;</w:t>
      </w:r>
    </w:p>
    <w:p w14:paraId="021BADD6" w14:textId="05393FED" w:rsidR="00817ACA" w:rsidRPr="00D912D2" w:rsidRDefault="00817ACA" w:rsidP="00817ACA">
      <w:pPr>
        <w:rPr>
          <w:rFonts w:cs="Times New Roman"/>
          <w:color w:val="000000"/>
          <w:szCs w:val="20"/>
          <w:lang w:eastAsia="fr-FR"/>
        </w:rPr>
      </w:pPr>
      <w:r w:rsidRPr="00D912D2">
        <w:rPr>
          <w:rFonts w:cs="Times New Roman"/>
          <w:color w:val="000000"/>
          <w:szCs w:val="20"/>
          <w:lang w:eastAsia="fr-FR"/>
        </w:rPr>
        <w:t>Engagé à l’échelle mondiale, le changement climatique concerne également le territoire régional, avec des premières conséquences déjà visibles. Il pose de manière aigue la question de la préservation et de la valorisation des ressources naturelles et des écosystèmes, et impactera à l’avenir l’ensemble de ses activités. Pour cela, il est nécessaire de poursuivre une double stratégie d’atténuation (c’est-à-dire traiter des causes du changement climatique, à savoir l’accumulation de gaz à effet de serre dans l’atmosphère) et d’adaptation au changement climatique (qui concerne l’ajustement des systèmes naturels ou humains aux impacts du changement climatique)</w:t>
      </w:r>
      <w:r w:rsidR="00D55EB9" w:rsidRPr="00D912D2">
        <w:rPr>
          <w:rFonts w:cs="Times New Roman"/>
          <w:color w:val="000000"/>
          <w:szCs w:val="20"/>
          <w:lang w:eastAsia="fr-FR"/>
        </w:rPr>
        <w:t>.</w:t>
      </w:r>
    </w:p>
    <w:p w14:paraId="28BE855F" w14:textId="77777777" w:rsidR="00537601" w:rsidRPr="00D912D2" w:rsidRDefault="00537601" w:rsidP="00817ACA">
      <w:pPr>
        <w:rPr>
          <w:rFonts w:cs="Times New Roman"/>
          <w:color w:val="000000"/>
          <w:szCs w:val="20"/>
          <w:lang w:eastAsia="fr-FR"/>
        </w:rPr>
      </w:pPr>
    </w:p>
    <w:p w14:paraId="7AE88ABC" w14:textId="00560B38" w:rsidR="00817ACA" w:rsidRPr="00D912D2" w:rsidRDefault="00817ACA" w:rsidP="00817ACA">
      <w:pPr>
        <w:rPr>
          <w:rFonts w:cs="Times New Roman"/>
          <w:color w:val="000000"/>
          <w:szCs w:val="20"/>
          <w:lang w:eastAsia="fr-FR"/>
        </w:rPr>
      </w:pPr>
      <w:r w:rsidRPr="00D912D2">
        <w:rPr>
          <w:rFonts w:cs="Times New Roman"/>
          <w:color w:val="000000"/>
          <w:szCs w:val="20"/>
          <w:lang w:eastAsia="fr-FR"/>
        </w:rPr>
        <w:t>2-</w:t>
      </w:r>
      <w:r w:rsidR="00935FD0" w:rsidRPr="00D912D2">
        <w:rPr>
          <w:rFonts w:cs="Times New Roman"/>
          <w:i/>
          <w:color w:val="000000"/>
          <w:szCs w:val="20"/>
          <w:lang w:eastAsia="fr-FR"/>
        </w:rPr>
        <w:t>p</w:t>
      </w:r>
      <w:r w:rsidRPr="00D912D2">
        <w:rPr>
          <w:rFonts w:cs="Times New Roman"/>
          <w:i/>
          <w:color w:val="000000"/>
          <w:szCs w:val="20"/>
          <w:lang w:eastAsia="fr-FR"/>
        </w:rPr>
        <w:t xml:space="preserve">rojets sur la thématique « </w:t>
      </w:r>
      <w:r w:rsidRPr="00D912D2">
        <w:rPr>
          <w:rFonts w:cs="Times New Roman"/>
          <w:b/>
          <w:i/>
          <w:color w:val="000000"/>
          <w:szCs w:val="20"/>
          <w:lang w:eastAsia="fr-FR"/>
        </w:rPr>
        <w:t xml:space="preserve">One </w:t>
      </w:r>
      <w:proofErr w:type="spellStart"/>
      <w:r w:rsidRPr="00D912D2">
        <w:rPr>
          <w:rFonts w:cs="Times New Roman"/>
          <w:b/>
          <w:i/>
          <w:color w:val="000000"/>
          <w:szCs w:val="20"/>
          <w:lang w:eastAsia="fr-FR"/>
        </w:rPr>
        <w:t>Health</w:t>
      </w:r>
      <w:proofErr w:type="spellEnd"/>
      <w:r w:rsidRPr="00D912D2">
        <w:rPr>
          <w:rFonts w:cs="Times New Roman"/>
          <w:i/>
          <w:color w:val="000000"/>
          <w:szCs w:val="20"/>
          <w:lang w:eastAsia="fr-FR"/>
        </w:rPr>
        <w:t xml:space="preserve"> », à la croisée de la santé publique, de la santé animale et de la santé environnementale</w:t>
      </w:r>
      <w:r w:rsidRPr="00D912D2">
        <w:rPr>
          <w:rFonts w:cs="Times New Roman"/>
          <w:color w:val="000000"/>
          <w:szCs w:val="20"/>
          <w:lang w:eastAsia="fr-FR"/>
        </w:rPr>
        <w:t xml:space="preserve"> ;</w:t>
      </w:r>
    </w:p>
    <w:p w14:paraId="4060D9E6" w14:textId="535E7449" w:rsidR="00AB5532" w:rsidRPr="00957F05" w:rsidRDefault="00817ACA" w:rsidP="00AB5532">
      <w:pPr>
        <w:pStyle w:val="NormalWeb"/>
        <w:spacing w:after="160"/>
        <w:jc w:val="both"/>
        <w:rPr>
          <w:rFonts w:ascii="Georgia" w:hAnsi="Georgia"/>
          <w:color w:val="000000"/>
          <w:sz w:val="18"/>
          <w:szCs w:val="18"/>
        </w:rPr>
      </w:pPr>
      <w:r w:rsidRPr="00957F05">
        <w:rPr>
          <w:rFonts w:ascii="Georgia" w:hAnsi="Georgia"/>
          <w:color w:val="000000"/>
          <w:sz w:val="18"/>
          <w:szCs w:val="18"/>
          <w:lang w:eastAsia="fr-FR"/>
        </w:rPr>
        <w:t xml:space="preserve">Le concept « One </w:t>
      </w:r>
      <w:proofErr w:type="spellStart"/>
      <w:r w:rsidRPr="00957F05">
        <w:rPr>
          <w:rFonts w:ascii="Georgia" w:hAnsi="Georgia"/>
          <w:color w:val="000000"/>
          <w:sz w:val="18"/>
          <w:szCs w:val="18"/>
          <w:lang w:eastAsia="fr-FR"/>
        </w:rPr>
        <w:t>Health</w:t>
      </w:r>
      <w:proofErr w:type="spellEnd"/>
      <w:r w:rsidRPr="00957F05">
        <w:rPr>
          <w:rFonts w:ascii="Georgia" w:hAnsi="Georgia"/>
          <w:color w:val="000000"/>
          <w:sz w:val="18"/>
          <w:szCs w:val="18"/>
          <w:lang w:eastAsia="fr-FR"/>
        </w:rPr>
        <w:t xml:space="preserve">/Une seule santé » vise à développer une approche intégrée de tous les aspects de santé humaine, santé animale et gestion des écosystèmes/état écologique global (eau, air…). Il met clairement en avant la nécessité de politiques intégrant la santé humaine et la biodiversité, et incite </w:t>
      </w:r>
      <w:r w:rsidRPr="00957F05">
        <w:rPr>
          <w:rFonts w:ascii="Georgia" w:hAnsi="Georgia"/>
          <w:sz w:val="18"/>
          <w:szCs w:val="18"/>
          <w:lang w:eastAsia="fr-FR"/>
        </w:rPr>
        <w:t>ainsi à prendre en considération tous les facteurs d’émergence des maladies infectieuses, en promouvant une approche pluridisciplinaire et globale des enjeux sanitaires</w:t>
      </w:r>
      <w:r w:rsidR="00D55EB9" w:rsidRPr="00957F05">
        <w:rPr>
          <w:rFonts w:ascii="Georgia" w:hAnsi="Georgia"/>
          <w:sz w:val="18"/>
          <w:szCs w:val="18"/>
          <w:lang w:eastAsia="fr-FR"/>
        </w:rPr>
        <w:t>.</w:t>
      </w:r>
      <w:r w:rsidR="00AB5532" w:rsidRPr="00957F05">
        <w:rPr>
          <w:rFonts w:ascii="Georgia" w:hAnsi="Georgia"/>
          <w:sz w:val="18"/>
          <w:szCs w:val="18"/>
          <w:lang w:eastAsia="fr-FR"/>
        </w:rPr>
        <w:t xml:space="preserve"> </w:t>
      </w:r>
      <w:r w:rsidR="00AB5532" w:rsidRPr="00957F05">
        <w:rPr>
          <w:rFonts w:ascii="Georgia" w:hAnsi="Georgia"/>
          <w:sz w:val="18"/>
          <w:szCs w:val="18"/>
        </w:rPr>
        <w:t xml:space="preserve">Dans le cadre du dispositif Bienvenüe, le rattachement à la priorité « One </w:t>
      </w:r>
      <w:proofErr w:type="spellStart"/>
      <w:r w:rsidR="00AB5532" w:rsidRPr="00957F05">
        <w:rPr>
          <w:rFonts w:ascii="Georgia" w:hAnsi="Georgia"/>
          <w:sz w:val="18"/>
          <w:szCs w:val="18"/>
        </w:rPr>
        <w:t>Health</w:t>
      </w:r>
      <w:proofErr w:type="spellEnd"/>
      <w:r w:rsidR="00AB5532" w:rsidRPr="00957F05">
        <w:rPr>
          <w:rFonts w:ascii="Georgia" w:hAnsi="Georgia"/>
          <w:sz w:val="18"/>
          <w:szCs w:val="18"/>
        </w:rPr>
        <w:t> » devra être justifié par le fait que le projet proposé adresse au moins 2 dimensions du concept parmi les 3 (santé publique, santé animale et santé environnementale).  </w:t>
      </w:r>
    </w:p>
    <w:p w14:paraId="7921B731" w14:textId="430C5A2B" w:rsidR="00537601" w:rsidRPr="00D912D2" w:rsidRDefault="00537601" w:rsidP="00817ACA">
      <w:pPr>
        <w:rPr>
          <w:rFonts w:cs="Times New Roman"/>
          <w:color w:val="000000"/>
          <w:szCs w:val="20"/>
          <w:lang w:eastAsia="fr-FR"/>
        </w:rPr>
      </w:pPr>
    </w:p>
    <w:p w14:paraId="378CAA59" w14:textId="0F5825B6" w:rsidR="00817ACA" w:rsidRPr="00D912D2" w:rsidRDefault="00817ACA" w:rsidP="00817ACA">
      <w:pPr>
        <w:rPr>
          <w:rFonts w:cs="Times New Roman"/>
          <w:color w:val="000000"/>
          <w:szCs w:val="20"/>
          <w:lang w:eastAsia="fr-FR"/>
        </w:rPr>
      </w:pPr>
      <w:r w:rsidRPr="00D912D2">
        <w:rPr>
          <w:rFonts w:cs="Times New Roman"/>
          <w:color w:val="000000"/>
          <w:szCs w:val="20"/>
          <w:lang w:eastAsia="fr-FR"/>
        </w:rPr>
        <w:t>3-</w:t>
      </w:r>
      <w:r w:rsidR="00935FD0" w:rsidRPr="00D912D2">
        <w:rPr>
          <w:rFonts w:cs="Times New Roman"/>
          <w:i/>
          <w:color w:val="000000"/>
          <w:szCs w:val="20"/>
          <w:lang w:eastAsia="fr-FR"/>
        </w:rPr>
        <w:t>p</w:t>
      </w:r>
      <w:r w:rsidRPr="00D912D2">
        <w:rPr>
          <w:rFonts w:cs="Times New Roman"/>
          <w:i/>
          <w:color w:val="000000"/>
          <w:szCs w:val="20"/>
          <w:lang w:eastAsia="fr-FR"/>
        </w:rPr>
        <w:t xml:space="preserve">rojets sur la thématique « </w:t>
      </w:r>
      <w:proofErr w:type="spellStart"/>
      <w:r w:rsidRPr="00D912D2">
        <w:rPr>
          <w:rFonts w:cs="Times New Roman"/>
          <w:b/>
          <w:i/>
          <w:color w:val="000000"/>
          <w:szCs w:val="20"/>
          <w:lang w:eastAsia="fr-FR"/>
        </w:rPr>
        <w:t>Cybersécurité</w:t>
      </w:r>
      <w:proofErr w:type="spellEnd"/>
      <w:r w:rsidRPr="00D912D2">
        <w:rPr>
          <w:rFonts w:cs="Times New Roman"/>
          <w:i/>
          <w:color w:val="000000"/>
          <w:szCs w:val="20"/>
          <w:lang w:eastAsia="fr-FR"/>
        </w:rPr>
        <w:t xml:space="preserve"> », via Creach </w:t>
      </w:r>
      <w:proofErr w:type="spellStart"/>
      <w:r w:rsidRPr="00D912D2">
        <w:rPr>
          <w:rFonts w:cs="Times New Roman"/>
          <w:i/>
          <w:color w:val="000000"/>
          <w:szCs w:val="20"/>
          <w:lang w:eastAsia="fr-FR"/>
        </w:rPr>
        <w:t>Labs</w:t>
      </w:r>
      <w:proofErr w:type="spellEnd"/>
      <w:r w:rsidRPr="00D912D2">
        <w:rPr>
          <w:rFonts w:cs="Times New Roman"/>
          <w:color w:val="000000"/>
          <w:szCs w:val="20"/>
          <w:lang w:eastAsia="fr-FR"/>
        </w:rPr>
        <w:t xml:space="preserve"> ;</w:t>
      </w:r>
    </w:p>
    <w:p w14:paraId="3597CB58" w14:textId="0B86FC39" w:rsidR="008E6D31" w:rsidRPr="00957F05" w:rsidRDefault="00817ACA" w:rsidP="008E6D31">
      <w:pPr>
        <w:pStyle w:val="NormalWeb"/>
        <w:spacing w:after="160"/>
        <w:jc w:val="both"/>
        <w:rPr>
          <w:rFonts w:ascii="Georgia" w:hAnsi="Georgia"/>
          <w:color w:val="000000"/>
          <w:sz w:val="20"/>
          <w:szCs w:val="20"/>
        </w:rPr>
      </w:pPr>
      <w:r w:rsidRPr="00957F05">
        <w:rPr>
          <w:rFonts w:ascii="Georgia" w:hAnsi="Georgia"/>
          <w:color w:val="000000"/>
          <w:sz w:val="20"/>
          <w:szCs w:val="20"/>
          <w:lang w:eastAsia="fr-FR"/>
        </w:rPr>
        <w:t xml:space="preserve">Le développement constant des usages et services numériques entraîne des risques et menaces grandissantes. Dans ce contexte, la </w:t>
      </w:r>
      <w:proofErr w:type="spellStart"/>
      <w:r w:rsidRPr="00957F05">
        <w:rPr>
          <w:rFonts w:ascii="Georgia" w:hAnsi="Georgia"/>
          <w:color w:val="000000"/>
          <w:sz w:val="20"/>
          <w:szCs w:val="20"/>
          <w:lang w:eastAsia="fr-FR"/>
        </w:rPr>
        <w:t>cybersécurité</w:t>
      </w:r>
      <w:proofErr w:type="spellEnd"/>
      <w:r w:rsidRPr="00957F05">
        <w:rPr>
          <w:rFonts w:ascii="Georgia" w:hAnsi="Georgia"/>
          <w:color w:val="000000"/>
          <w:sz w:val="20"/>
          <w:szCs w:val="20"/>
          <w:lang w:eastAsia="fr-FR"/>
        </w:rPr>
        <w:t xml:space="preserve"> est devenue un enjeu majeur de souveraineté, dont la Région s’est saisie depuis plusieurs années. Ceci s’incarne notamment dans « Creach </w:t>
      </w:r>
      <w:proofErr w:type="spellStart"/>
      <w:r w:rsidRPr="00957F05">
        <w:rPr>
          <w:rFonts w:ascii="Georgia" w:hAnsi="Georgia"/>
          <w:color w:val="000000"/>
          <w:sz w:val="20"/>
          <w:szCs w:val="20"/>
          <w:lang w:eastAsia="fr-FR"/>
        </w:rPr>
        <w:t>Labs</w:t>
      </w:r>
      <w:proofErr w:type="spellEnd"/>
      <w:r w:rsidRPr="00957F05">
        <w:rPr>
          <w:rFonts w:ascii="Georgia" w:hAnsi="Georgia"/>
          <w:color w:val="000000"/>
          <w:sz w:val="20"/>
          <w:szCs w:val="20"/>
          <w:lang w:eastAsia="fr-FR"/>
        </w:rPr>
        <w:t xml:space="preserve"> », qui renvoie à l’Accord général de partenariat signé par le </w:t>
      </w:r>
      <w:r w:rsidRPr="00957F05">
        <w:rPr>
          <w:rFonts w:ascii="Georgia" w:hAnsi="Georgia"/>
          <w:sz w:val="20"/>
          <w:szCs w:val="20"/>
          <w:lang w:eastAsia="fr-FR"/>
        </w:rPr>
        <w:t xml:space="preserve">Ministère des Armées (DGA, AID), la Région Bretagne, l’Agence nationale de la sécurité des systèmes d’information (ANSSI), et douze établissements d’enseignement supérieur et de recherche bretons. </w:t>
      </w:r>
      <w:r w:rsidR="008E6D31" w:rsidRPr="00957F05">
        <w:rPr>
          <w:rFonts w:ascii="Georgia" w:hAnsi="Georgia"/>
          <w:sz w:val="20"/>
          <w:szCs w:val="20"/>
        </w:rPr>
        <w:t xml:space="preserve"> Les sujets prioritaires en matière de recherche en </w:t>
      </w:r>
      <w:proofErr w:type="spellStart"/>
      <w:r w:rsidR="008E6D31" w:rsidRPr="00957F05">
        <w:rPr>
          <w:rFonts w:ascii="Georgia" w:hAnsi="Georgia"/>
          <w:sz w:val="20"/>
          <w:szCs w:val="20"/>
        </w:rPr>
        <w:t>cybersécurité</w:t>
      </w:r>
      <w:proofErr w:type="spellEnd"/>
      <w:r w:rsidR="008E6D31" w:rsidRPr="00957F05">
        <w:rPr>
          <w:rFonts w:ascii="Georgia" w:hAnsi="Georgia"/>
          <w:sz w:val="20"/>
          <w:szCs w:val="20"/>
        </w:rPr>
        <w:t xml:space="preserve"> portent sur la cryptographie, la sécurité matérielle et logicielle des composants et des produits, la sécurité des systèmes et des réseaux, la connaissance de la </w:t>
      </w:r>
      <w:r w:rsidR="00D814E9" w:rsidRPr="00957F05">
        <w:rPr>
          <w:rFonts w:ascii="Georgia" w:hAnsi="Georgia"/>
          <w:sz w:val="20"/>
          <w:szCs w:val="20"/>
        </w:rPr>
        <w:t>menace, la lutte informatique dé</w:t>
      </w:r>
      <w:r w:rsidR="008E6D31" w:rsidRPr="00957F05">
        <w:rPr>
          <w:rFonts w:ascii="Georgia" w:hAnsi="Georgia"/>
          <w:sz w:val="20"/>
          <w:szCs w:val="20"/>
        </w:rPr>
        <w:t>fensive, la sécurité centrée sur les données, et la lutte informatique d’influence. </w:t>
      </w:r>
    </w:p>
    <w:p w14:paraId="4607704D" w14:textId="11FDB2E7" w:rsidR="00537601" w:rsidRPr="00D912D2" w:rsidRDefault="00537601" w:rsidP="00817ACA">
      <w:pPr>
        <w:rPr>
          <w:rFonts w:cs="Times New Roman"/>
          <w:color w:val="000000"/>
          <w:szCs w:val="20"/>
          <w:lang w:eastAsia="fr-FR"/>
        </w:rPr>
      </w:pPr>
    </w:p>
    <w:p w14:paraId="2442ACCE" w14:textId="5486D233" w:rsidR="00817ACA" w:rsidRPr="00957F05" w:rsidRDefault="00817ACA" w:rsidP="00817ACA">
      <w:pPr>
        <w:rPr>
          <w:rFonts w:cs="Times New Roman"/>
          <w:i/>
          <w:szCs w:val="20"/>
          <w:lang w:eastAsia="fr-FR"/>
        </w:rPr>
      </w:pPr>
      <w:r w:rsidRPr="00D912D2">
        <w:rPr>
          <w:rFonts w:cs="Times New Roman"/>
          <w:color w:val="000000"/>
          <w:szCs w:val="20"/>
          <w:lang w:eastAsia="fr-FR"/>
        </w:rPr>
        <w:t>4-</w:t>
      </w:r>
      <w:r w:rsidR="00935FD0" w:rsidRPr="00D912D2">
        <w:rPr>
          <w:rFonts w:cs="Times New Roman"/>
          <w:i/>
          <w:color w:val="000000"/>
          <w:szCs w:val="20"/>
          <w:lang w:eastAsia="fr-FR"/>
        </w:rPr>
        <w:t>p</w:t>
      </w:r>
      <w:r w:rsidRPr="00D912D2">
        <w:rPr>
          <w:rFonts w:cs="Times New Roman"/>
          <w:i/>
          <w:color w:val="000000"/>
          <w:szCs w:val="20"/>
          <w:lang w:eastAsia="fr-FR"/>
        </w:rPr>
        <w:t xml:space="preserve">rojets </w:t>
      </w:r>
      <w:r w:rsidRPr="00957F05">
        <w:rPr>
          <w:rFonts w:cs="Times New Roman"/>
          <w:i/>
          <w:szCs w:val="20"/>
          <w:lang w:eastAsia="fr-FR"/>
        </w:rPr>
        <w:t xml:space="preserve">dont la finalité portera sur la </w:t>
      </w:r>
      <w:r w:rsidRPr="00957F05">
        <w:rPr>
          <w:rFonts w:cs="Times New Roman"/>
          <w:b/>
          <w:i/>
          <w:szCs w:val="20"/>
          <w:lang w:eastAsia="fr-FR"/>
        </w:rPr>
        <w:t>cohésion sociale en Bretagne</w:t>
      </w:r>
      <w:r w:rsidR="00F71DFE" w:rsidRPr="00957F05">
        <w:rPr>
          <w:rFonts w:cs="Times New Roman"/>
          <w:szCs w:val="20"/>
          <w:lang w:eastAsia="fr-FR"/>
        </w:rPr>
        <w:t> ;</w:t>
      </w:r>
    </w:p>
    <w:p w14:paraId="09009A53" w14:textId="384F9D82" w:rsidR="008E6D31" w:rsidRPr="00957F05" w:rsidRDefault="00817ACA" w:rsidP="008E6D31">
      <w:pPr>
        <w:pStyle w:val="NormalWeb"/>
        <w:spacing w:after="160"/>
        <w:jc w:val="both"/>
        <w:rPr>
          <w:rFonts w:ascii="Georgia" w:hAnsi="Georgia"/>
          <w:sz w:val="20"/>
          <w:szCs w:val="20"/>
        </w:rPr>
      </w:pPr>
      <w:r w:rsidRPr="00957F05">
        <w:rPr>
          <w:rFonts w:ascii="Georgia" w:hAnsi="Georgia"/>
          <w:sz w:val="20"/>
          <w:szCs w:val="20"/>
          <w:lang w:eastAsia="fr-FR"/>
        </w:rPr>
        <w:t xml:space="preserve">Les impératifs de cohésion sociale s’imposent aujourd’hui en matière d’aménagement et de développement, aussi à l’échelle régionale et locale. </w:t>
      </w:r>
      <w:r w:rsidR="008E6D31" w:rsidRPr="00957F05">
        <w:rPr>
          <w:rFonts w:ascii="Georgia" w:hAnsi="Georgia"/>
          <w:sz w:val="20"/>
          <w:szCs w:val="20"/>
        </w:rPr>
        <w:t xml:space="preserve"> Il renvoie aux objectifs d’équilibre sociétal, de bien-être social et de lutte contre les disparités sociales, et de lutte contre toutes les formes d’exclusion. </w:t>
      </w:r>
    </w:p>
    <w:p w14:paraId="752C22A6" w14:textId="71388C1F" w:rsidR="00AB5532" w:rsidRPr="00A93CAE" w:rsidRDefault="00AB5532" w:rsidP="00AB5532">
      <w:pPr>
        <w:pStyle w:val="NormalWeb"/>
        <w:spacing w:after="160"/>
        <w:jc w:val="both"/>
        <w:rPr>
          <w:rFonts w:ascii="Georgia" w:hAnsi="Georgia"/>
          <w:i/>
          <w:sz w:val="20"/>
          <w:szCs w:val="20"/>
        </w:rPr>
      </w:pPr>
      <w:r w:rsidRPr="00D27CBE">
        <w:rPr>
          <w:rFonts w:ascii="Georgia" w:hAnsi="Georgia"/>
          <w:sz w:val="20"/>
          <w:szCs w:val="20"/>
        </w:rPr>
        <w:t>5</w:t>
      </w:r>
      <w:r w:rsidRPr="00A93CAE">
        <w:rPr>
          <w:rFonts w:ascii="Georgia" w:hAnsi="Georgia"/>
          <w:i/>
          <w:sz w:val="20"/>
          <w:szCs w:val="20"/>
        </w:rPr>
        <w:t xml:space="preserve">- projets sur la thématique « </w:t>
      </w:r>
      <w:r w:rsidRPr="00A93CAE">
        <w:rPr>
          <w:rFonts w:ascii="Georgia" w:hAnsi="Georgia"/>
          <w:b/>
          <w:bCs/>
          <w:i/>
          <w:sz w:val="20"/>
          <w:szCs w:val="20"/>
        </w:rPr>
        <w:t>Agroécologie</w:t>
      </w:r>
      <w:r w:rsidRPr="00A93CAE">
        <w:rPr>
          <w:rFonts w:ascii="Georgia" w:hAnsi="Georgia"/>
          <w:i/>
          <w:sz w:val="20"/>
          <w:szCs w:val="20"/>
        </w:rPr>
        <w:t> » ;</w:t>
      </w:r>
    </w:p>
    <w:p w14:paraId="6B25CF60" w14:textId="0B21C10C" w:rsidR="00AB5532" w:rsidRPr="00D27CBE" w:rsidRDefault="00AB5532" w:rsidP="00D27CBE">
      <w:pPr>
        <w:pStyle w:val="NormalWeb"/>
        <w:spacing w:after="160"/>
        <w:jc w:val="both"/>
        <w:rPr>
          <w:rFonts w:ascii="Georgia" w:hAnsi="Georgia"/>
          <w:color w:val="000000"/>
          <w:sz w:val="20"/>
          <w:szCs w:val="20"/>
        </w:rPr>
      </w:pPr>
      <w:r w:rsidRPr="00957F05">
        <w:rPr>
          <w:rFonts w:ascii="Georgia" w:hAnsi="Georgia"/>
          <w:sz w:val="20"/>
          <w:szCs w:val="20"/>
        </w:rPr>
        <w:t xml:space="preserve">Concevoir des systèmes de production agricole s’inspirant du fonctionnement des écosystèmes naturels doit permettre de favoriser la production alimentaire tout en minimisant les impacts environnementaux. L’agroécologie vise à promouvoir des systèmes alimentaires viables, respectueux des hommes et de leur environnement. Pour cela, plusieurs leviers peuvent être activés et pourront faire l’objet de projets de recherche : biodiversité, gestion des ressources naturelles, agroforesterie, gestion des sols, </w:t>
      </w:r>
      <w:proofErr w:type="spellStart"/>
      <w:r w:rsidRPr="00957F05">
        <w:rPr>
          <w:rFonts w:ascii="Georgia" w:hAnsi="Georgia"/>
          <w:sz w:val="20"/>
          <w:szCs w:val="20"/>
        </w:rPr>
        <w:t>biocontrôle</w:t>
      </w:r>
      <w:proofErr w:type="spellEnd"/>
      <w:r w:rsidRPr="00957F05">
        <w:rPr>
          <w:rFonts w:ascii="Georgia" w:hAnsi="Georgia"/>
          <w:sz w:val="20"/>
          <w:szCs w:val="20"/>
        </w:rPr>
        <w:t>, réduction des intrants chimiques, sensibilisation des agriculteurs, des consommateurs, des décideurs… </w:t>
      </w:r>
    </w:p>
    <w:p w14:paraId="583FA874" w14:textId="77777777" w:rsidR="00537601" w:rsidRPr="00B13CA8" w:rsidRDefault="00537601" w:rsidP="00817ACA">
      <w:pPr>
        <w:rPr>
          <w:rFonts w:cs="Times New Roman"/>
          <w:color w:val="000000"/>
          <w:szCs w:val="20"/>
          <w:lang w:eastAsia="fr-FR"/>
        </w:rPr>
      </w:pPr>
    </w:p>
    <w:p w14:paraId="789FF134" w14:textId="3F2EAB22" w:rsidR="00817ACA" w:rsidRPr="008E6D31" w:rsidRDefault="00817ACA" w:rsidP="00817ACA">
      <w:pPr>
        <w:rPr>
          <w:rFonts w:cs="Times New Roman"/>
          <w:color w:val="000000"/>
          <w:szCs w:val="20"/>
          <w:lang w:eastAsia="fr-FR"/>
        </w:rPr>
      </w:pPr>
      <w:r w:rsidRPr="008E6D31">
        <w:rPr>
          <w:rFonts w:cs="Times New Roman"/>
          <w:color w:val="000000"/>
          <w:szCs w:val="20"/>
          <w:lang w:eastAsia="fr-FR"/>
        </w:rPr>
        <w:t xml:space="preserve">La Région accordera une part significative de son soutien aux projets s’inscrivant dans l’une ou l’autre de ces </w:t>
      </w:r>
      <w:r w:rsidR="008E6D31" w:rsidRPr="008E6D31">
        <w:rPr>
          <w:rFonts w:cs="Times New Roman"/>
          <w:color w:val="000000"/>
          <w:szCs w:val="20"/>
          <w:lang w:eastAsia="fr-FR"/>
        </w:rPr>
        <w:t>5</w:t>
      </w:r>
      <w:r w:rsidRPr="008E6D31">
        <w:rPr>
          <w:rFonts w:cs="Times New Roman"/>
          <w:color w:val="000000"/>
          <w:szCs w:val="20"/>
          <w:lang w:eastAsia="fr-FR"/>
        </w:rPr>
        <w:t xml:space="preserve"> priorités régionales. Toutefois, elles n’ont pas vocation à représenter la totalité du soutien régional, et un équilibre sera recherché entre les projets entrant dans les priorités et ceux répondant à d’autres enjeux scientifiques.</w:t>
      </w:r>
    </w:p>
    <w:p w14:paraId="386F3589" w14:textId="31915412" w:rsidR="00537601" w:rsidRPr="00D912D2" w:rsidRDefault="00537601" w:rsidP="001C781C">
      <w:pPr>
        <w:spacing w:before="120" w:line="240" w:lineRule="auto"/>
        <w:rPr>
          <w:rFonts w:cs="Times New Roman"/>
          <w:color w:val="000000"/>
          <w:szCs w:val="20"/>
          <w:lang w:eastAsia="fr-FR"/>
        </w:rPr>
      </w:pPr>
    </w:p>
    <w:p w14:paraId="49CBFE9C" w14:textId="2B12023F" w:rsidR="00A65A81" w:rsidRPr="00D912D2" w:rsidRDefault="00817ACA" w:rsidP="007D6B57">
      <w:pPr>
        <w:pBdr>
          <w:top w:val="single" w:sz="12" w:space="4" w:color="000000"/>
          <w:left w:val="single" w:sz="12" w:space="4" w:color="000000"/>
          <w:bottom w:val="single" w:sz="12" w:space="1" w:color="000000"/>
          <w:right w:val="single" w:sz="12" w:space="4" w:color="000000"/>
        </w:pBdr>
        <w:spacing w:line="276" w:lineRule="auto"/>
        <w:rPr>
          <w:b/>
          <w:i/>
          <w:iCs/>
          <w:szCs w:val="20"/>
        </w:rPr>
      </w:pPr>
      <w:r w:rsidRPr="00D912D2">
        <w:rPr>
          <w:b/>
          <w:i/>
          <w:iCs/>
          <w:szCs w:val="20"/>
        </w:rPr>
        <w:t>5</w:t>
      </w:r>
      <w:r w:rsidR="005548CC" w:rsidRPr="00D912D2">
        <w:rPr>
          <w:b/>
          <w:i/>
          <w:iCs/>
          <w:szCs w:val="20"/>
        </w:rPr>
        <w:t xml:space="preserve"> – </w:t>
      </w:r>
      <w:r w:rsidR="009A17A8" w:rsidRPr="00D912D2">
        <w:rPr>
          <w:b/>
          <w:i/>
          <w:iCs/>
          <w:szCs w:val="20"/>
        </w:rPr>
        <w:t>MODALIT</w:t>
      </w:r>
      <w:r w:rsidR="001F7215" w:rsidRPr="00D912D2">
        <w:rPr>
          <w:b/>
          <w:i/>
          <w:iCs/>
          <w:szCs w:val="20"/>
        </w:rPr>
        <w:t>É</w:t>
      </w:r>
      <w:r w:rsidR="009A17A8" w:rsidRPr="00D912D2">
        <w:rPr>
          <w:b/>
          <w:i/>
          <w:iCs/>
          <w:szCs w:val="20"/>
        </w:rPr>
        <w:t>S D’INTERVENTION</w:t>
      </w:r>
      <w:r w:rsidR="002C282C">
        <w:rPr>
          <w:b/>
          <w:i/>
          <w:iCs/>
          <w:szCs w:val="20"/>
        </w:rPr>
        <w:t xml:space="preserve"> ET CRITERES D’ELIGIBILIT</w:t>
      </w:r>
      <w:r w:rsidR="002C282C" w:rsidRPr="00D912D2">
        <w:rPr>
          <w:b/>
          <w:i/>
          <w:iCs/>
          <w:szCs w:val="20"/>
        </w:rPr>
        <w:t>É</w:t>
      </w:r>
      <w:r w:rsidR="002C282C">
        <w:rPr>
          <w:b/>
          <w:i/>
          <w:iCs/>
          <w:szCs w:val="20"/>
        </w:rPr>
        <w:t xml:space="preserve"> </w:t>
      </w:r>
    </w:p>
    <w:p w14:paraId="1596C6C3" w14:textId="04DC53E2" w:rsidR="00A77D31" w:rsidRPr="00D912D2" w:rsidRDefault="00A77D31" w:rsidP="00D401A3">
      <w:pPr>
        <w:spacing w:before="240" w:after="120" w:line="276" w:lineRule="auto"/>
        <w:rPr>
          <w:szCs w:val="20"/>
        </w:rPr>
      </w:pPr>
      <w:r w:rsidRPr="00D912D2">
        <w:rPr>
          <w:szCs w:val="20"/>
        </w:rPr>
        <w:t xml:space="preserve">Ce </w:t>
      </w:r>
      <w:r w:rsidR="009A17A8" w:rsidRPr="00D912D2">
        <w:rPr>
          <w:szCs w:val="20"/>
        </w:rPr>
        <w:t xml:space="preserve">dispositif </w:t>
      </w:r>
      <w:r w:rsidRPr="00D912D2">
        <w:rPr>
          <w:szCs w:val="20"/>
        </w:rPr>
        <w:t xml:space="preserve">vise l’attractivité de </w:t>
      </w:r>
      <w:proofErr w:type="spellStart"/>
      <w:r w:rsidR="00262C4F" w:rsidRPr="00D912D2">
        <w:rPr>
          <w:szCs w:val="20"/>
        </w:rPr>
        <w:t>chercheur·se</w:t>
      </w:r>
      <w:r w:rsidR="00A16430" w:rsidRPr="00D912D2">
        <w:rPr>
          <w:szCs w:val="20"/>
        </w:rPr>
        <w:t>·</w:t>
      </w:r>
      <w:r w:rsidR="00262C4F" w:rsidRPr="00D912D2">
        <w:rPr>
          <w:szCs w:val="20"/>
        </w:rPr>
        <w:t>s</w:t>
      </w:r>
      <w:proofErr w:type="spellEnd"/>
      <w:r w:rsidR="00262C4F" w:rsidRPr="00D912D2">
        <w:rPr>
          <w:szCs w:val="20"/>
        </w:rPr>
        <w:t xml:space="preserve"> </w:t>
      </w:r>
      <w:proofErr w:type="spellStart"/>
      <w:r w:rsidR="00262C4F" w:rsidRPr="00D912D2">
        <w:rPr>
          <w:szCs w:val="20"/>
        </w:rPr>
        <w:t>internationaux·les</w:t>
      </w:r>
      <w:proofErr w:type="spellEnd"/>
      <w:r w:rsidR="00262C4F" w:rsidRPr="00D912D2">
        <w:rPr>
          <w:szCs w:val="20"/>
        </w:rPr>
        <w:t xml:space="preserve"> </w:t>
      </w:r>
      <w:r w:rsidRPr="00D912D2">
        <w:rPr>
          <w:szCs w:val="20"/>
        </w:rPr>
        <w:t>en post-doctorat.</w:t>
      </w:r>
    </w:p>
    <w:p w14:paraId="68BACF0C" w14:textId="76919C05" w:rsidR="00A65A81" w:rsidRPr="00D912D2" w:rsidRDefault="00817ACA" w:rsidP="007D6B57">
      <w:pPr>
        <w:spacing w:line="276" w:lineRule="auto"/>
        <w:rPr>
          <w:b/>
          <w:szCs w:val="20"/>
          <w:u w:val="single"/>
        </w:rPr>
      </w:pPr>
      <w:r w:rsidRPr="00D912D2">
        <w:rPr>
          <w:b/>
          <w:szCs w:val="20"/>
          <w:u w:val="single"/>
        </w:rPr>
        <w:t>5</w:t>
      </w:r>
      <w:r w:rsidR="005548CC" w:rsidRPr="00D912D2">
        <w:rPr>
          <w:b/>
          <w:szCs w:val="20"/>
          <w:u w:val="single"/>
        </w:rPr>
        <w:t>.1.  Type de projets financés</w:t>
      </w:r>
    </w:p>
    <w:p w14:paraId="61A5FC1D" w14:textId="138AA6AC" w:rsidR="00A65A81" w:rsidRPr="00D912D2" w:rsidRDefault="005548CC" w:rsidP="007D6B57">
      <w:pPr>
        <w:spacing w:before="57" w:line="276" w:lineRule="auto"/>
        <w:rPr>
          <w:szCs w:val="20"/>
        </w:rPr>
      </w:pPr>
      <w:r w:rsidRPr="00D912D2">
        <w:rPr>
          <w:szCs w:val="20"/>
        </w:rPr>
        <w:t xml:space="preserve">Sont considérés comme éligibles les projets répondant à l’ensemble des </w:t>
      </w:r>
      <w:r w:rsidRPr="00957F05">
        <w:rPr>
          <w:b/>
          <w:bCs/>
          <w:szCs w:val="20"/>
          <w:u w:val="single"/>
        </w:rPr>
        <w:t>critères cumulatifs</w:t>
      </w:r>
      <w:r w:rsidRPr="00D912D2">
        <w:rPr>
          <w:szCs w:val="20"/>
        </w:rPr>
        <w:t xml:space="preserve"> suivants :</w:t>
      </w:r>
    </w:p>
    <w:p w14:paraId="37C5CEEF" w14:textId="7C936069" w:rsidR="00A65A81" w:rsidRPr="00D912D2" w:rsidRDefault="005548CC" w:rsidP="002A4391">
      <w:pPr>
        <w:numPr>
          <w:ilvl w:val="0"/>
          <w:numId w:val="10"/>
        </w:numPr>
        <w:spacing w:before="60" w:line="276" w:lineRule="auto"/>
      </w:pPr>
      <w:proofErr w:type="gramStart"/>
      <w:r w:rsidRPr="00D912D2">
        <w:rPr>
          <w:szCs w:val="20"/>
        </w:rPr>
        <w:t>les</w:t>
      </w:r>
      <w:proofErr w:type="gramEnd"/>
      <w:r w:rsidRPr="00D912D2">
        <w:rPr>
          <w:szCs w:val="20"/>
        </w:rPr>
        <w:t xml:space="preserve"> projets </w:t>
      </w:r>
      <w:r w:rsidR="00761E10" w:rsidRPr="00D912D2">
        <w:rPr>
          <w:szCs w:val="20"/>
        </w:rPr>
        <w:t xml:space="preserve">se déroulant </w:t>
      </w:r>
      <w:r w:rsidR="00761E10" w:rsidRPr="00D912D2">
        <w:rPr>
          <w:b/>
          <w:szCs w:val="20"/>
        </w:rPr>
        <w:t>sur le territoire breton</w:t>
      </w:r>
      <w:r w:rsidR="00761E10" w:rsidRPr="00D912D2">
        <w:rPr>
          <w:szCs w:val="20"/>
        </w:rPr>
        <w:t>, portés</w:t>
      </w:r>
      <w:r w:rsidRPr="00D912D2">
        <w:rPr>
          <w:szCs w:val="20"/>
        </w:rPr>
        <w:t xml:space="preserve"> par </w:t>
      </w:r>
      <w:proofErr w:type="spellStart"/>
      <w:r w:rsidRPr="00D912D2">
        <w:rPr>
          <w:szCs w:val="20"/>
        </w:rPr>
        <w:t>un</w:t>
      </w:r>
      <w:r w:rsidR="005C03E4" w:rsidRPr="00D912D2">
        <w:rPr>
          <w:szCs w:val="20"/>
        </w:rPr>
        <w:t>·</w:t>
      </w:r>
      <w:r w:rsidR="00902569" w:rsidRPr="00D912D2">
        <w:rPr>
          <w:szCs w:val="20"/>
        </w:rPr>
        <w:t>e</w:t>
      </w:r>
      <w:proofErr w:type="spellEnd"/>
      <w:r w:rsidRPr="00D912D2">
        <w:rPr>
          <w:szCs w:val="20"/>
        </w:rPr>
        <w:t xml:space="preserve"> </w:t>
      </w:r>
      <w:proofErr w:type="spellStart"/>
      <w:r w:rsidRPr="00D912D2">
        <w:rPr>
          <w:bCs/>
          <w:szCs w:val="20"/>
        </w:rPr>
        <w:t>charg</w:t>
      </w:r>
      <w:r w:rsidRPr="00D912D2">
        <w:rPr>
          <w:szCs w:val="20"/>
        </w:rPr>
        <w:t>é</w:t>
      </w:r>
      <w:r w:rsidR="005C03E4" w:rsidRPr="00D912D2">
        <w:rPr>
          <w:szCs w:val="20"/>
        </w:rPr>
        <w:t>·</w:t>
      </w:r>
      <w:r w:rsidR="00902569" w:rsidRPr="00D912D2">
        <w:rPr>
          <w:szCs w:val="20"/>
        </w:rPr>
        <w:t>e</w:t>
      </w:r>
      <w:proofErr w:type="spellEnd"/>
      <w:r w:rsidRPr="00D912D2">
        <w:rPr>
          <w:szCs w:val="20"/>
        </w:rPr>
        <w:t xml:space="preserve"> de recherche, </w:t>
      </w:r>
      <w:proofErr w:type="spellStart"/>
      <w:r w:rsidR="00902569" w:rsidRPr="00D912D2">
        <w:rPr>
          <w:szCs w:val="20"/>
        </w:rPr>
        <w:t>d</w:t>
      </w:r>
      <w:r w:rsidRPr="00D912D2">
        <w:rPr>
          <w:szCs w:val="20"/>
        </w:rPr>
        <w:t>irecteur</w:t>
      </w:r>
      <w:r w:rsidR="005C03E4" w:rsidRPr="00D912D2">
        <w:rPr>
          <w:szCs w:val="20"/>
        </w:rPr>
        <w:t>·</w:t>
      </w:r>
      <w:r w:rsidR="00902569" w:rsidRPr="00D912D2">
        <w:rPr>
          <w:szCs w:val="20"/>
        </w:rPr>
        <w:t>rice</w:t>
      </w:r>
      <w:proofErr w:type="spellEnd"/>
      <w:r w:rsidRPr="00D912D2">
        <w:rPr>
          <w:szCs w:val="20"/>
        </w:rPr>
        <w:t xml:space="preserve"> de recherche, </w:t>
      </w:r>
      <w:proofErr w:type="spellStart"/>
      <w:r w:rsidR="00902569" w:rsidRPr="00D912D2">
        <w:rPr>
          <w:szCs w:val="20"/>
        </w:rPr>
        <w:t>m</w:t>
      </w:r>
      <w:r w:rsidRPr="00D912D2">
        <w:rPr>
          <w:szCs w:val="20"/>
        </w:rPr>
        <w:t>aître</w:t>
      </w:r>
      <w:r w:rsidR="00A022D3" w:rsidRPr="00D912D2">
        <w:rPr>
          <w:szCs w:val="20"/>
        </w:rPr>
        <w:t>·</w:t>
      </w:r>
      <w:r w:rsidR="00310915" w:rsidRPr="00D912D2">
        <w:rPr>
          <w:szCs w:val="20"/>
        </w:rPr>
        <w:t>sse</w:t>
      </w:r>
      <w:proofErr w:type="spellEnd"/>
      <w:r w:rsidRPr="00D912D2">
        <w:rPr>
          <w:szCs w:val="20"/>
        </w:rPr>
        <w:t xml:space="preserve"> de </w:t>
      </w:r>
      <w:r w:rsidR="00902569" w:rsidRPr="00D912D2">
        <w:rPr>
          <w:szCs w:val="20"/>
        </w:rPr>
        <w:t>c</w:t>
      </w:r>
      <w:r w:rsidRPr="00D912D2">
        <w:rPr>
          <w:szCs w:val="20"/>
        </w:rPr>
        <w:t>onférence</w:t>
      </w:r>
      <w:r w:rsidR="00902569" w:rsidRPr="00D912D2">
        <w:rPr>
          <w:szCs w:val="20"/>
        </w:rPr>
        <w:t>s</w:t>
      </w:r>
      <w:r w:rsidR="0024398B" w:rsidRPr="00D912D2">
        <w:rPr>
          <w:szCs w:val="20"/>
        </w:rPr>
        <w:t>,</w:t>
      </w:r>
      <w:r w:rsidRPr="00D912D2">
        <w:rPr>
          <w:szCs w:val="20"/>
        </w:rPr>
        <w:t xml:space="preserve"> </w:t>
      </w:r>
      <w:proofErr w:type="spellStart"/>
      <w:r w:rsidR="00902569" w:rsidRPr="00D912D2">
        <w:rPr>
          <w:szCs w:val="20"/>
        </w:rPr>
        <w:t>p</w:t>
      </w:r>
      <w:r w:rsidRPr="00D912D2">
        <w:rPr>
          <w:szCs w:val="20"/>
        </w:rPr>
        <w:t>rofesseur</w:t>
      </w:r>
      <w:r w:rsidR="00A022D3" w:rsidRPr="00D912D2">
        <w:rPr>
          <w:szCs w:val="20"/>
        </w:rPr>
        <w:t>·</w:t>
      </w:r>
      <w:r w:rsidR="00310915" w:rsidRPr="00D912D2">
        <w:rPr>
          <w:szCs w:val="20"/>
        </w:rPr>
        <w:t>e</w:t>
      </w:r>
      <w:proofErr w:type="spellEnd"/>
      <w:r w:rsidRPr="00D912D2">
        <w:rPr>
          <w:szCs w:val="20"/>
        </w:rPr>
        <w:t xml:space="preserve"> </w:t>
      </w:r>
      <w:r w:rsidR="00902569" w:rsidRPr="00D912D2">
        <w:rPr>
          <w:szCs w:val="20"/>
        </w:rPr>
        <w:t>des universités</w:t>
      </w:r>
      <w:r w:rsidR="000D3B9C" w:rsidRPr="00D912D2">
        <w:rPr>
          <w:szCs w:val="20"/>
        </w:rPr>
        <w:t>,</w:t>
      </w:r>
      <w:r w:rsidR="0024398B" w:rsidRPr="00D912D2">
        <w:rPr>
          <w:szCs w:val="20"/>
        </w:rPr>
        <w:t xml:space="preserve"> ou </w:t>
      </w:r>
      <w:proofErr w:type="spellStart"/>
      <w:r w:rsidR="002A4391" w:rsidRPr="00D912D2">
        <w:rPr>
          <w:szCs w:val="20"/>
        </w:rPr>
        <w:t>ingénieur·e</w:t>
      </w:r>
      <w:proofErr w:type="spellEnd"/>
      <w:r w:rsidR="002A4391" w:rsidRPr="00D912D2">
        <w:rPr>
          <w:szCs w:val="20"/>
        </w:rPr>
        <w:t xml:space="preserve"> de recherche</w:t>
      </w:r>
      <w:r w:rsidR="00310915" w:rsidRPr="00D912D2">
        <w:rPr>
          <w:szCs w:val="20"/>
        </w:rPr>
        <w:t xml:space="preserve"> (</w:t>
      </w:r>
      <w:proofErr w:type="spellStart"/>
      <w:r w:rsidR="00310915" w:rsidRPr="00D912D2">
        <w:rPr>
          <w:szCs w:val="20"/>
        </w:rPr>
        <w:t>celui-ci</w:t>
      </w:r>
      <w:r w:rsidR="00C67B14" w:rsidRPr="00D912D2">
        <w:rPr>
          <w:szCs w:val="20"/>
        </w:rPr>
        <w:t>·</w:t>
      </w:r>
      <w:r w:rsidR="00310915" w:rsidRPr="00D912D2">
        <w:rPr>
          <w:szCs w:val="20"/>
        </w:rPr>
        <w:t>celle-ci</w:t>
      </w:r>
      <w:proofErr w:type="spellEnd"/>
      <w:r w:rsidR="00310915" w:rsidRPr="00D912D2">
        <w:rPr>
          <w:szCs w:val="20"/>
        </w:rPr>
        <w:t xml:space="preserve"> devant être</w:t>
      </w:r>
      <w:r w:rsidR="002A4391" w:rsidRPr="00D912D2">
        <w:rPr>
          <w:szCs w:val="20"/>
        </w:rPr>
        <w:t xml:space="preserve"> titulaire de l’HDR</w:t>
      </w:r>
      <w:r w:rsidR="00310915" w:rsidRPr="00D912D2">
        <w:rPr>
          <w:szCs w:val="20"/>
        </w:rPr>
        <w:t>)</w:t>
      </w:r>
      <w:r w:rsidR="00761E10" w:rsidRPr="00D912D2">
        <w:rPr>
          <w:szCs w:val="20"/>
        </w:rPr>
        <w:t xml:space="preserve">, </w:t>
      </w:r>
      <w:proofErr w:type="spellStart"/>
      <w:r w:rsidR="00761E10" w:rsidRPr="00D912D2">
        <w:rPr>
          <w:szCs w:val="20"/>
        </w:rPr>
        <w:t>basé·e</w:t>
      </w:r>
      <w:proofErr w:type="spellEnd"/>
      <w:r w:rsidR="00761E10" w:rsidRPr="00D912D2">
        <w:rPr>
          <w:szCs w:val="20"/>
        </w:rPr>
        <w:t xml:space="preserve"> en Bretagne</w:t>
      </w:r>
      <w:r w:rsidRPr="00D912D2">
        <w:rPr>
          <w:szCs w:val="20"/>
        </w:rPr>
        <w:t xml:space="preserve"> ;</w:t>
      </w:r>
    </w:p>
    <w:p w14:paraId="3AA07DF7" w14:textId="7C6801D4" w:rsidR="00A65A81" w:rsidRPr="00D912D2" w:rsidRDefault="005548CC" w:rsidP="007D6B57">
      <w:pPr>
        <w:numPr>
          <w:ilvl w:val="0"/>
          <w:numId w:val="10"/>
        </w:numPr>
        <w:spacing w:before="60" w:line="276" w:lineRule="auto"/>
        <w:ind w:left="714" w:hanging="357"/>
      </w:pPr>
      <w:r w:rsidRPr="00D912D2">
        <w:rPr>
          <w:szCs w:val="20"/>
        </w:rPr>
        <w:t xml:space="preserve">les </w:t>
      </w:r>
      <w:r w:rsidRPr="00D912D2">
        <w:rPr>
          <w:rFonts w:cs="Times New Roman"/>
          <w:szCs w:val="20"/>
          <w:lang w:eastAsia="fr-FR"/>
        </w:rPr>
        <w:t>projets</w:t>
      </w:r>
      <w:r w:rsidRPr="00D912D2">
        <w:rPr>
          <w:szCs w:val="20"/>
        </w:rPr>
        <w:t xml:space="preserve"> </w:t>
      </w:r>
      <w:r w:rsidR="000844C2" w:rsidRPr="00D912D2">
        <w:rPr>
          <w:szCs w:val="20"/>
        </w:rPr>
        <w:t xml:space="preserve">d’une durée de </w:t>
      </w:r>
      <w:r w:rsidR="000844C2" w:rsidRPr="00D912D2">
        <w:rPr>
          <w:b/>
          <w:szCs w:val="20"/>
        </w:rPr>
        <w:t>18 ou 24 mois</w:t>
      </w:r>
      <w:r w:rsidR="0021739E" w:rsidRPr="00D912D2">
        <w:rPr>
          <w:rStyle w:val="Appelnotedebasdep"/>
          <w:szCs w:val="20"/>
        </w:rPr>
        <w:footnoteReference w:id="3"/>
      </w:r>
      <w:r w:rsidR="000844C2" w:rsidRPr="00D912D2">
        <w:rPr>
          <w:szCs w:val="20"/>
        </w:rPr>
        <w:t xml:space="preserve">, </w:t>
      </w:r>
      <w:r w:rsidRPr="00D912D2">
        <w:rPr>
          <w:szCs w:val="20"/>
        </w:rPr>
        <w:t>visant l’accueil</w:t>
      </w:r>
      <w:r w:rsidR="005D5F42" w:rsidRPr="00D912D2">
        <w:rPr>
          <w:rStyle w:val="Appelnotedebasdep"/>
          <w:szCs w:val="20"/>
        </w:rPr>
        <w:footnoteReference w:id="4"/>
      </w:r>
      <w:r w:rsidRPr="00D912D2">
        <w:rPr>
          <w:szCs w:val="20"/>
        </w:rPr>
        <w:t xml:space="preserve"> d’</w:t>
      </w:r>
      <w:proofErr w:type="spellStart"/>
      <w:r w:rsidRPr="00D912D2">
        <w:rPr>
          <w:szCs w:val="20"/>
        </w:rPr>
        <w:t>un</w:t>
      </w:r>
      <w:r w:rsidR="005C03E4" w:rsidRPr="00D912D2">
        <w:rPr>
          <w:szCs w:val="20"/>
        </w:rPr>
        <w:t>·</w:t>
      </w:r>
      <w:r w:rsidR="00902569" w:rsidRPr="00D912D2">
        <w:rPr>
          <w:szCs w:val="20"/>
        </w:rPr>
        <w:t>e</w:t>
      </w:r>
      <w:proofErr w:type="spellEnd"/>
      <w:r w:rsidRPr="00D912D2">
        <w:rPr>
          <w:b/>
          <w:szCs w:val="20"/>
        </w:rPr>
        <w:t xml:space="preserve"> </w:t>
      </w:r>
      <w:proofErr w:type="spellStart"/>
      <w:r w:rsidRPr="00D912D2">
        <w:rPr>
          <w:b/>
          <w:szCs w:val="20"/>
        </w:rPr>
        <w:t>post</w:t>
      </w:r>
      <w:r w:rsidR="005C03E4" w:rsidRPr="00D912D2">
        <w:rPr>
          <w:b/>
          <w:szCs w:val="20"/>
        </w:rPr>
        <w:t>-</w:t>
      </w:r>
      <w:r w:rsidRPr="00D912D2">
        <w:rPr>
          <w:b/>
          <w:szCs w:val="20"/>
        </w:rPr>
        <w:t>doctorant</w:t>
      </w:r>
      <w:r w:rsidR="005C03E4" w:rsidRPr="00D912D2">
        <w:rPr>
          <w:b/>
          <w:szCs w:val="20"/>
        </w:rPr>
        <w:t>·</w:t>
      </w:r>
      <w:r w:rsidR="00902569" w:rsidRPr="00D912D2">
        <w:rPr>
          <w:b/>
          <w:szCs w:val="20"/>
        </w:rPr>
        <w:t>e</w:t>
      </w:r>
      <w:proofErr w:type="spellEnd"/>
      <w:r w:rsidRPr="00D912D2">
        <w:rPr>
          <w:b/>
          <w:szCs w:val="20"/>
        </w:rPr>
        <w:t xml:space="preserve"> </w:t>
      </w:r>
      <w:r w:rsidR="0043331A" w:rsidRPr="00D912D2">
        <w:rPr>
          <w:b/>
          <w:szCs w:val="20"/>
        </w:rPr>
        <w:t xml:space="preserve">ayant passé au minimum 18 mois à l’étranger </w:t>
      </w:r>
      <w:r w:rsidR="000844C2" w:rsidRPr="00D912D2">
        <w:rPr>
          <w:b/>
          <w:szCs w:val="20"/>
        </w:rPr>
        <w:t>entre le</w:t>
      </w:r>
      <w:r w:rsidR="0043331A" w:rsidRPr="00D912D2">
        <w:rPr>
          <w:b/>
          <w:szCs w:val="20"/>
        </w:rPr>
        <w:t xml:space="preserve"> 1</w:t>
      </w:r>
      <w:r w:rsidR="0043331A" w:rsidRPr="00D912D2">
        <w:rPr>
          <w:b/>
          <w:szCs w:val="20"/>
          <w:vertAlign w:val="superscript"/>
        </w:rPr>
        <w:t>er</w:t>
      </w:r>
      <w:r w:rsidR="001C3F56" w:rsidRPr="00D912D2">
        <w:rPr>
          <w:b/>
          <w:szCs w:val="20"/>
        </w:rPr>
        <w:t xml:space="preserve"> </w:t>
      </w:r>
      <w:r w:rsidR="00F14F75" w:rsidRPr="00D912D2">
        <w:rPr>
          <w:b/>
          <w:szCs w:val="20"/>
        </w:rPr>
        <w:t>mai</w:t>
      </w:r>
      <w:r w:rsidR="0043331A" w:rsidRPr="00D912D2">
        <w:rPr>
          <w:b/>
          <w:szCs w:val="20"/>
        </w:rPr>
        <w:t xml:space="preserve"> </w:t>
      </w:r>
      <w:r w:rsidR="00663B5E" w:rsidRPr="00D912D2">
        <w:rPr>
          <w:b/>
          <w:szCs w:val="20"/>
        </w:rPr>
        <w:t>202</w:t>
      </w:r>
      <w:r w:rsidR="008E6D31">
        <w:rPr>
          <w:b/>
          <w:szCs w:val="20"/>
        </w:rPr>
        <w:t>1</w:t>
      </w:r>
      <w:r w:rsidR="00663B5E" w:rsidRPr="00D912D2">
        <w:rPr>
          <w:b/>
          <w:szCs w:val="20"/>
        </w:rPr>
        <w:t xml:space="preserve"> </w:t>
      </w:r>
      <w:r w:rsidR="000844C2" w:rsidRPr="00D912D2">
        <w:rPr>
          <w:b/>
          <w:szCs w:val="20"/>
        </w:rPr>
        <w:t>et le démarrage du projet</w:t>
      </w:r>
      <w:r w:rsidR="00EB17E4" w:rsidRPr="00D912D2">
        <w:rPr>
          <w:rStyle w:val="Appelnotedebasdep"/>
          <w:szCs w:val="20"/>
        </w:rPr>
        <w:footnoteReference w:id="5"/>
      </w:r>
      <w:r w:rsidR="0043331A" w:rsidRPr="00D912D2">
        <w:rPr>
          <w:szCs w:val="20"/>
        </w:rPr>
        <w:t> ;</w:t>
      </w:r>
    </w:p>
    <w:p w14:paraId="2BC6304A" w14:textId="5565BF57" w:rsidR="00A65A81" w:rsidRPr="00686C10" w:rsidRDefault="005548CC" w:rsidP="00E24851">
      <w:pPr>
        <w:numPr>
          <w:ilvl w:val="0"/>
          <w:numId w:val="10"/>
        </w:numPr>
        <w:spacing w:before="60" w:line="276" w:lineRule="auto"/>
      </w:pPr>
      <w:proofErr w:type="gramStart"/>
      <w:r w:rsidRPr="00D912D2">
        <w:rPr>
          <w:szCs w:val="20"/>
        </w:rPr>
        <w:t>les</w:t>
      </w:r>
      <w:proofErr w:type="gramEnd"/>
      <w:r w:rsidRPr="00D912D2">
        <w:rPr>
          <w:szCs w:val="20"/>
        </w:rPr>
        <w:t xml:space="preserve"> </w:t>
      </w:r>
      <w:r w:rsidRPr="00D912D2">
        <w:rPr>
          <w:rFonts w:cs="Times New Roman"/>
          <w:szCs w:val="20"/>
          <w:lang w:eastAsia="fr-FR"/>
        </w:rPr>
        <w:t>projets</w:t>
      </w:r>
      <w:r w:rsidRPr="00D912D2">
        <w:rPr>
          <w:szCs w:val="20"/>
        </w:rPr>
        <w:t xml:space="preserve"> s’inscrivant dans l'un des </w:t>
      </w:r>
      <w:r w:rsidR="00E24851" w:rsidRPr="00D912D2">
        <w:rPr>
          <w:szCs w:val="20"/>
        </w:rPr>
        <w:t xml:space="preserve">5 </w:t>
      </w:r>
      <w:r w:rsidR="006D2592" w:rsidRPr="00D912D2">
        <w:rPr>
          <w:szCs w:val="20"/>
        </w:rPr>
        <w:t>d</w:t>
      </w:r>
      <w:r w:rsidRPr="00D912D2">
        <w:rPr>
          <w:szCs w:val="20"/>
        </w:rPr>
        <w:t>omaines d'innovation stratégique</w:t>
      </w:r>
      <w:r w:rsidR="00E24851" w:rsidRPr="00D912D2">
        <w:rPr>
          <w:szCs w:val="20"/>
        </w:rPr>
        <w:t>s</w:t>
      </w:r>
      <w:r w:rsidR="00B77A3A" w:rsidRPr="00D912D2">
        <w:rPr>
          <w:szCs w:val="20"/>
        </w:rPr>
        <w:t xml:space="preserve"> et/ou dans l’axe transversal de la S3</w:t>
      </w:r>
      <w:r w:rsidR="00E24851" w:rsidRPr="00D912D2">
        <w:rPr>
          <w:szCs w:val="20"/>
        </w:rPr>
        <w:t xml:space="preserve"> </w:t>
      </w:r>
      <w:r w:rsidR="00260FDB">
        <w:rPr>
          <w:szCs w:val="20"/>
        </w:rPr>
        <w:t>(</w:t>
      </w:r>
      <w:r w:rsidR="00AB4346">
        <w:rPr>
          <w:szCs w:val="20"/>
        </w:rPr>
        <w:t>37</w:t>
      </w:r>
      <w:r w:rsidR="00AB4346" w:rsidRPr="00D912D2">
        <w:rPr>
          <w:szCs w:val="20"/>
        </w:rPr>
        <w:t xml:space="preserve"> </w:t>
      </w:r>
      <w:r w:rsidR="00E24851" w:rsidRPr="00D912D2">
        <w:rPr>
          <w:szCs w:val="20"/>
        </w:rPr>
        <w:t>leviers thématiques</w:t>
      </w:r>
      <w:r w:rsidR="00260FDB">
        <w:rPr>
          <w:szCs w:val="20"/>
        </w:rPr>
        <w:t>)</w:t>
      </w:r>
      <w:r w:rsidRPr="00D912D2">
        <w:rPr>
          <w:szCs w:val="20"/>
        </w:rPr>
        <w:t xml:space="preserve">. Toutefois, afin de ne pas obérer la recherche dans les domaines plus fondamentaux ou encore émergents, la Région prévoit une catégorie de </w:t>
      </w:r>
      <w:r w:rsidR="006D2592" w:rsidRPr="00D912D2">
        <w:rPr>
          <w:szCs w:val="20"/>
        </w:rPr>
        <w:t>p</w:t>
      </w:r>
      <w:r w:rsidRPr="00D912D2">
        <w:rPr>
          <w:szCs w:val="20"/>
        </w:rPr>
        <w:t xml:space="preserve">rojets </w:t>
      </w:r>
      <w:r w:rsidR="00582D65" w:rsidRPr="00D912D2">
        <w:rPr>
          <w:szCs w:val="20"/>
        </w:rPr>
        <w:t xml:space="preserve">« hors </w:t>
      </w:r>
      <w:r w:rsidR="00B77A3A" w:rsidRPr="00D912D2">
        <w:rPr>
          <w:szCs w:val="20"/>
        </w:rPr>
        <w:t>S3</w:t>
      </w:r>
      <w:r w:rsidR="00582D65" w:rsidRPr="00D912D2">
        <w:rPr>
          <w:szCs w:val="20"/>
        </w:rPr>
        <w:t> </w:t>
      </w:r>
      <w:r w:rsidRPr="00D912D2">
        <w:rPr>
          <w:szCs w:val="20"/>
        </w:rPr>
        <w:t xml:space="preserve">» pour les dossiers dont la thématique ne peut être intégrée de façon adéquate dans </w:t>
      </w:r>
      <w:r w:rsidR="00B77A3A" w:rsidRPr="00D912D2">
        <w:rPr>
          <w:szCs w:val="20"/>
        </w:rPr>
        <w:t>cette stratégie</w:t>
      </w:r>
      <w:r w:rsidR="00686C10">
        <w:rPr>
          <w:szCs w:val="20"/>
        </w:rPr>
        <w:t> ;</w:t>
      </w:r>
      <w:r w:rsidRPr="00D912D2">
        <w:rPr>
          <w:szCs w:val="20"/>
        </w:rPr>
        <w:t xml:space="preserve"> </w:t>
      </w:r>
    </w:p>
    <w:p w14:paraId="6D9F2994" w14:textId="33C5EEDF" w:rsidR="00686C10" w:rsidRPr="00957F05" w:rsidRDefault="00A537DF" w:rsidP="00EF6828">
      <w:pPr>
        <w:numPr>
          <w:ilvl w:val="0"/>
          <w:numId w:val="10"/>
        </w:numPr>
        <w:spacing w:before="60" w:line="276" w:lineRule="auto"/>
      </w:pPr>
      <w:proofErr w:type="gramStart"/>
      <w:r w:rsidRPr="00EF6828">
        <w:rPr>
          <w:szCs w:val="20"/>
        </w:rPr>
        <w:t>un</w:t>
      </w:r>
      <w:proofErr w:type="gramEnd"/>
      <w:r w:rsidRPr="00EF6828">
        <w:rPr>
          <w:szCs w:val="20"/>
        </w:rPr>
        <w:t xml:space="preserve"> porteur de projet ne peut déposer qu’un seul projet par campagne</w:t>
      </w:r>
      <w:r w:rsidR="00EF6828">
        <w:rPr>
          <w:szCs w:val="20"/>
        </w:rPr>
        <w:t xml:space="preserve"> </w:t>
      </w:r>
      <w:r w:rsidR="00EF6828" w:rsidRPr="00A1023A">
        <w:rPr>
          <w:szCs w:val="20"/>
        </w:rPr>
        <w:t>;</w:t>
      </w:r>
    </w:p>
    <w:p w14:paraId="0DD69AEA" w14:textId="320CB08D" w:rsidR="00B13CA8" w:rsidRPr="00EF6828" w:rsidRDefault="00EF6828" w:rsidP="00E24851">
      <w:pPr>
        <w:numPr>
          <w:ilvl w:val="0"/>
          <w:numId w:val="10"/>
        </w:numPr>
        <w:spacing w:before="60" w:line="276" w:lineRule="auto"/>
      </w:pPr>
      <w:proofErr w:type="gramStart"/>
      <w:r>
        <w:rPr>
          <w:szCs w:val="20"/>
        </w:rPr>
        <w:t>l</w:t>
      </w:r>
      <w:r w:rsidR="00686C10" w:rsidRPr="00EF6828">
        <w:rPr>
          <w:szCs w:val="20"/>
        </w:rPr>
        <w:t>e</w:t>
      </w:r>
      <w:proofErr w:type="gramEnd"/>
      <w:r w:rsidR="00686C10" w:rsidRPr="00EF6828">
        <w:rPr>
          <w:szCs w:val="20"/>
        </w:rPr>
        <w:t xml:space="preserve"> nombre de page du </w:t>
      </w:r>
      <w:r w:rsidR="00672BE1" w:rsidRPr="00EF6828">
        <w:rPr>
          <w:szCs w:val="20"/>
        </w:rPr>
        <w:t>f</w:t>
      </w:r>
      <w:r w:rsidR="00686C10" w:rsidRPr="00EF6828">
        <w:rPr>
          <w:szCs w:val="20"/>
        </w:rPr>
        <w:t xml:space="preserve">ormulaire de </w:t>
      </w:r>
      <w:r w:rsidR="00672BE1" w:rsidRPr="00EF6828">
        <w:rPr>
          <w:szCs w:val="20"/>
        </w:rPr>
        <w:t>d</w:t>
      </w:r>
      <w:r w:rsidR="00686C10" w:rsidRPr="00EF6828">
        <w:rPr>
          <w:szCs w:val="20"/>
        </w:rPr>
        <w:t xml:space="preserve">emande doit être strictement limité à </w:t>
      </w:r>
      <w:r w:rsidR="00672BE1" w:rsidRPr="00EF6828">
        <w:rPr>
          <w:szCs w:val="20"/>
        </w:rPr>
        <w:t>15</w:t>
      </w:r>
      <w:r>
        <w:rPr>
          <w:szCs w:val="20"/>
        </w:rPr>
        <w:t>.</w:t>
      </w:r>
    </w:p>
    <w:p w14:paraId="6396CDF0" w14:textId="77777777" w:rsidR="00686C10" w:rsidRPr="00D27CBE" w:rsidRDefault="00686C10" w:rsidP="00957F05">
      <w:pPr>
        <w:spacing w:before="60" w:line="276" w:lineRule="auto"/>
        <w:ind w:left="720"/>
        <w:rPr>
          <w:szCs w:val="20"/>
        </w:rPr>
      </w:pPr>
    </w:p>
    <w:p w14:paraId="4726EC21" w14:textId="22473D47" w:rsidR="00686C10" w:rsidRDefault="00EE491D" w:rsidP="00686C10">
      <w:pPr>
        <w:spacing w:before="60" w:line="276" w:lineRule="auto"/>
        <w:rPr>
          <w:szCs w:val="20"/>
        </w:rPr>
      </w:pPr>
      <w:r w:rsidRPr="00D27CBE">
        <w:rPr>
          <w:b/>
          <w:szCs w:val="20"/>
        </w:rPr>
        <w:t>Toute proposition de projet ne respectant pas une seule de ces conditions, ne pourra pas faire l’objet d’une évaluation scientifique ni d’un financement.</w:t>
      </w:r>
    </w:p>
    <w:p w14:paraId="6D37479E" w14:textId="77777777" w:rsidR="00A65A81" w:rsidRPr="00D912D2" w:rsidRDefault="00A65A81" w:rsidP="007D6B57">
      <w:pPr>
        <w:spacing w:line="276" w:lineRule="auto"/>
        <w:rPr>
          <w:b/>
          <w:szCs w:val="20"/>
        </w:rPr>
      </w:pPr>
    </w:p>
    <w:p w14:paraId="7CC37633" w14:textId="4B1B6460" w:rsidR="00A65A81" w:rsidRPr="00D912D2" w:rsidRDefault="00817ACA" w:rsidP="007D6B57">
      <w:pPr>
        <w:spacing w:line="276" w:lineRule="auto"/>
        <w:rPr>
          <w:b/>
          <w:szCs w:val="20"/>
          <w:u w:val="single"/>
        </w:rPr>
      </w:pPr>
      <w:r w:rsidRPr="00D912D2">
        <w:rPr>
          <w:b/>
          <w:szCs w:val="20"/>
          <w:u w:val="single"/>
        </w:rPr>
        <w:t>5</w:t>
      </w:r>
      <w:r w:rsidR="005548CC" w:rsidRPr="00D912D2">
        <w:rPr>
          <w:b/>
          <w:szCs w:val="20"/>
          <w:u w:val="single"/>
        </w:rPr>
        <w:t>.2. Types de dépenses éligibles et montant de l’aide</w:t>
      </w:r>
    </w:p>
    <w:p w14:paraId="719A81D4" w14:textId="68F7E240" w:rsidR="00A65A81" w:rsidRPr="00D912D2" w:rsidRDefault="003D6769" w:rsidP="000301AE">
      <w:pPr>
        <w:spacing w:before="120" w:line="276" w:lineRule="auto"/>
      </w:pPr>
      <w:r w:rsidRPr="00D912D2">
        <w:rPr>
          <w:szCs w:val="20"/>
        </w:rPr>
        <w:t>L</w:t>
      </w:r>
      <w:r w:rsidR="005548CC" w:rsidRPr="00D912D2">
        <w:rPr>
          <w:szCs w:val="20"/>
        </w:rPr>
        <w:t xml:space="preserve">’aide régionale consiste uniquement en une subvention de </w:t>
      </w:r>
      <w:r w:rsidR="005548CC" w:rsidRPr="00D912D2">
        <w:rPr>
          <w:b/>
          <w:szCs w:val="20"/>
        </w:rPr>
        <w:t>fonctionnement.</w:t>
      </w:r>
      <w:r w:rsidR="005548CC" w:rsidRPr="00D912D2">
        <w:rPr>
          <w:szCs w:val="20"/>
        </w:rPr>
        <w:t xml:space="preserve"> Seuls sont éligibles </w:t>
      </w:r>
      <w:r w:rsidR="005548CC" w:rsidRPr="00D912D2">
        <w:rPr>
          <w:b/>
          <w:bCs/>
          <w:szCs w:val="20"/>
        </w:rPr>
        <w:t>les coûts salariaux</w:t>
      </w:r>
      <w:r w:rsidR="005548CC" w:rsidRPr="00D912D2">
        <w:rPr>
          <w:szCs w:val="20"/>
        </w:rPr>
        <w:t xml:space="preserve"> </w:t>
      </w:r>
      <w:proofErr w:type="spellStart"/>
      <w:r w:rsidR="005548CC" w:rsidRPr="00D912D2">
        <w:rPr>
          <w:szCs w:val="20"/>
        </w:rPr>
        <w:t>du</w:t>
      </w:r>
      <w:r w:rsidR="005C03E4" w:rsidRPr="00D912D2">
        <w:rPr>
          <w:szCs w:val="20"/>
        </w:rPr>
        <w:t>·</w:t>
      </w:r>
      <w:r w:rsidR="006D2592" w:rsidRPr="00D912D2">
        <w:rPr>
          <w:szCs w:val="20"/>
        </w:rPr>
        <w:t>de</w:t>
      </w:r>
      <w:proofErr w:type="spellEnd"/>
      <w:r w:rsidR="006D2592" w:rsidRPr="00D912D2">
        <w:rPr>
          <w:szCs w:val="20"/>
        </w:rPr>
        <w:t xml:space="preserve"> la</w:t>
      </w:r>
      <w:r w:rsidR="005548CC" w:rsidRPr="00D912D2">
        <w:rPr>
          <w:szCs w:val="20"/>
        </w:rPr>
        <w:t xml:space="preserve"> </w:t>
      </w:r>
      <w:proofErr w:type="spellStart"/>
      <w:r w:rsidR="005548CC" w:rsidRPr="00D912D2">
        <w:rPr>
          <w:szCs w:val="20"/>
        </w:rPr>
        <w:t>post-doctorant</w:t>
      </w:r>
      <w:r w:rsidR="005C03E4" w:rsidRPr="00D912D2">
        <w:rPr>
          <w:szCs w:val="20"/>
        </w:rPr>
        <w:t>·</w:t>
      </w:r>
      <w:r w:rsidR="006D2592" w:rsidRPr="00D912D2">
        <w:rPr>
          <w:szCs w:val="20"/>
        </w:rPr>
        <w:t>e</w:t>
      </w:r>
      <w:proofErr w:type="spellEnd"/>
      <w:r w:rsidR="00117355" w:rsidRPr="00D912D2">
        <w:rPr>
          <w:szCs w:val="20"/>
        </w:rPr>
        <w:t xml:space="preserve"> </w:t>
      </w:r>
      <w:proofErr w:type="spellStart"/>
      <w:r w:rsidR="00117355" w:rsidRPr="00D912D2">
        <w:rPr>
          <w:szCs w:val="20"/>
        </w:rPr>
        <w:t>recruté</w:t>
      </w:r>
      <w:r w:rsidR="006621B4" w:rsidRPr="00D912D2">
        <w:rPr>
          <w:szCs w:val="20"/>
        </w:rPr>
        <w:t>·</w:t>
      </w:r>
      <w:r w:rsidR="00117355" w:rsidRPr="00D912D2">
        <w:rPr>
          <w:szCs w:val="20"/>
        </w:rPr>
        <w:t>e</w:t>
      </w:r>
      <w:proofErr w:type="spellEnd"/>
      <w:r w:rsidR="005548CC" w:rsidRPr="00D912D2">
        <w:rPr>
          <w:szCs w:val="20"/>
        </w:rPr>
        <w:t>, ce qui comprend le salaire net, les cotisations sociales et les provisions correspondant aux allocations pour perte d’emploi.</w:t>
      </w:r>
      <w:r w:rsidR="00B13CA8">
        <w:rPr>
          <w:szCs w:val="20"/>
        </w:rPr>
        <w:t xml:space="preserve"> Conformément aux re</w:t>
      </w:r>
      <w:r w:rsidR="00674A45">
        <w:rPr>
          <w:szCs w:val="20"/>
        </w:rPr>
        <w:t>commandations exprimées par la C</w:t>
      </w:r>
      <w:r w:rsidR="00B13CA8">
        <w:rPr>
          <w:szCs w:val="20"/>
        </w:rPr>
        <w:t>ommission européenne en matière de salaire du ou de la post-doctorante, un salaire minimal annuel de 54 000 €/an sera exigé.</w:t>
      </w:r>
    </w:p>
    <w:p w14:paraId="1FE429F5" w14:textId="77777777" w:rsidR="00A65A81" w:rsidRPr="00D912D2" w:rsidRDefault="005548CC" w:rsidP="000301AE">
      <w:pPr>
        <w:spacing w:before="120" w:line="276" w:lineRule="auto"/>
      </w:pPr>
      <w:r w:rsidRPr="00D912D2">
        <w:rPr>
          <w:szCs w:val="20"/>
        </w:rPr>
        <w:t>Le montant de l’aide varie selon la durée prévisionnelle du projet :</w:t>
      </w:r>
    </w:p>
    <w:p w14:paraId="0F2A6895" w14:textId="1DE8A0E1" w:rsidR="00A65A81" w:rsidRPr="00D912D2" w:rsidRDefault="005548CC" w:rsidP="007D6B57">
      <w:pPr>
        <w:numPr>
          <w:ilvl w:val="0"/>
          <w:numId w:val="10"/>
        </w:numPr>
        <w:spacing w:before="60" w:line="276" w:lineRule="auto"/>
        <w:ind w:left="714" w:hanging="357"/>
      </w:pPr>
      <w:r w:rsidRPr="00D912D2">
        <w:rPr>
          <w:b/>
          <w:szCs w:val="20"/>
        </w:rPr>
        <w:t xml:space="preserve"> </w:t>
      </w:r>
      <w:r w:rsidR="009F15F0">
        <w:rPr>
          <w:b/>
          <w:szCs w:val="20"/>
        </w:rPr>
        <w:t>60</w:t>
      </w:r>
      <w:r w:rsidR="00B605C0">
        <w:rPr>
          <w:b/>
          <w:szCs w:val="20"/>
        </w:rPr>
        <w:t> </w:t>
      </w:r>
      <w:r w:rsidR="009F15F0">
        <w:rPr>
          <w:b/>
          <w:szCs w:val="20"/>
        </w:rPr>
        <w:t>750</w:t>
      </w:r>
      <w:r w:rsidR="00B605C0">
        <w:rPr>
          <w:b/>
          <w:szCs w:val="20"/>
        </w:rPr>
        <w:t xml:space="preserve"> </w:t>
      </w:r>
      <w:r w:rsidRPr="00D912D2">
        <w:rPr>
          <w:b/>
          <w:szCs w:val="20"/>
        </w:rPr>
        <w:t>€</w:t>
      </w:r>
      <w:r w:rsidR="009F15F0">
        <w:rPr>
          <w:b/>
          <w:szCs w:val="20"/>
        </w:rPr>
        <w:t xml:space="preserve"> </w:t>
      </w:r>
      <w:r w:rsidR="00E017A0" w:rsidRPr="00EF6828">
        <w:rPr>
          <w:b/>
          <w:szCs w:val="20"/>
        </w:rPr>
        <w:t>minimum</w:t>
      </w:r>
      <w:r w:rsidRPr="00D912D2">
        <w:rPr>
          <w:b/>
          <w:szCs w:val="20"/>
        </w:rPr>
        <w:t xml:space="preserve"> </w:t>
      </w:r>
      <w:r w:rsidRPr="00D912D2">
        <w:rPr>
          <w:szCs w:val="20"/>
        </w:rPr>
        <w:t xml:space="preserve">pour un projet d’une durée de </w:t>
      </w:r>
      <w:r w:rsidRPr="00D912D2">
        <w:rPr>
          <w:b/>
          <w:szCs w:val="20"/>
        </w:rPr>
        <w:t>18 mois</w:t>
      </w:r>
      <w:r w:rsidR="00F71DFE" w:rsidRPr="00D912D2">
        <w:rPr>
          <w:b/>
          <w:szCs w:val="20"/>
        </w:rPr>
        <w:t> </w:t>
      </w:r>
      <w:r w:rsidR="00F71DFE" w:rsidRPr="00D912D2">
        <w:rPr>
          <w:szCs w:val="20"/>
        </w:rPr>
        <w:t>;</w:t>
      </w:r>
    </w:p>
    <w:p w14:paraId="68FAE807" w14:textId="36DC382D" w:rsidR="00A65A81" w:rsidRPr="00D912D2" w:rsidRDefault="009F15F0" w:rsidP="007D6B57">
      <w:pPr>
        <w:numPr>
          <w:ilvl w:val="0"/>
          <w:numId w:val="10"/>
        </w:numPr>
        <w:spacing w:before="60" w:line="276" w:lineRule="auto"/>
        <w:ind w:left="714" w:hanging="357"/>
      </w:pPr>
      <w:r>
        <w:rPr>
          <w:b/>
          <w:szCs w:val="20"/>
        </w:rPr>
        <w:t>  81 000</w:t>
      </w:r>
      <w:r w:rsidR="005548CC" w:rsidRPr="00D912D2">
        <w:rPr>
          <w:b/>
          <w:szCs w:val="20"/>
        </w:rPr>
        <w:t xml:space="preserve"> €</w:t>
      </w:r>
      <w:r w:rsidR="005548CC" w:rsidRPr="00D912D2">
        <w:rPr>
          <w:szCs w:val="20"/>
        </w:rPr>
        <w:t xml:space="preserve"> </w:t>
      </w:r>
      <w:r w:rsidR="00674A45" w:rsidRPr="00EF6828">
        <w:rPr>
          <w:b/>
          <w:szCs w:val="20"/>
        </w:rPr>
        <w:t>minimum</w:t>
      </w:r>
      <w:r w:rsidR="00674A45">
        <w:rPr>
          <w:szCs w:val="20"/>
        </w:rPr>
        <w:t xml:space="preserve"> </w:t>
      </w:r>
      <w:r w:rsidR="005548CC" w:rsidRPr="00D912D2">
        <w:rPr>
          <w:szCs w:val="20"/>
        </w:rPr>
        <w:t xml:space="preserve">pour un projet d’une durée de </w:t>
      </w:r>
      <w:r w:rsidR="005548CC" w:rsidRPr="00D912D2">
        <w:rPr>
          <w:b/>
          <w:szCs w:val="20"/>
        </w:rPr>
        <w:t>24 mois</w:t>
      </w:r>
      <w:r w:rsidR="00F71DFE" w:rsidRPr="00D912D2">
        <w:rPr>
          <w:szCs w:val="20"/>
        </w:rPr>
        <w:t xml:space="preserve">. </w:t>
      </w:r>
    </w:p>
    <w:p w14:paraId="158D8B40" w14:textId="30B21C48" w:rsidR="002C282C" w:rsidRPr="00EE491D" w:rsidRDefault="005548CC" w:rsidP="00EE491D">
      <w:pPr>
        <w:spacing w:before="120" w:line="276" w:lineRule="auto"/>
      </w:pPr>
      <w:r w:rsidRPr="00D912D2">
        <w:rPr>
          <w:szCs w:val="20"/>
        </w:rPr>
        <w:t xml:space="preserve">Dans tous les cas, </w:t>
      </w:r>
      <w:r w:rsidRPr="00D912D2">
        <w:rPr>
          <w:b/>
          <w:szCs w:val="20"/>
        </w:rPr>
        <w:t xml:space="preserve">la subvention accordée par la </w:t>
      </w:r>
      <w:r w:rsidR="00EE491D" w:rsidRPr="00D912D2">
        <w:rPr>
          <w:b/>
          <w:szCs w:val="20"/>
        </w:rPr>
        <w:t xml:space="preserve">Région </w:t>
      </w:r>
      <w:r w:rsidR="00EE491D">
        <w:rPr>
          <w:b/>
          <w:szCs w:val="20"/>
        </w:rPr>
        <w:t>s’élève</w:t>
      </w:r>
      <w:r w:rsidR="00674A45">
        <w:rPr>
          <w:b/>
          <w:szCs w:val="20"/>
        </w:rPr>
        <w:t xml:space="preserve"> à </w:t>
      </w:r>
      <w:r w:rsidRPr="00D912D2">
        <w:rPr>
          <w:b/>
          <w:szCs w:val="20"/>
        </w:rPr>
        <w:t>75 % des coûts éligibles induits par le projet</w:t>
      </w:r>
      <w:r w:rsidRPr="00D912D2">
        <w:rPr>
          <w:szCs w:val="20"/>
        </w:rPr>
        <w:t>. Les</w:t>
      </w:r>
      <w:r w:rsidRPr="00D912D2">
        <w:rPr>
          <w:b/>
          <w:szCs w:val="20"/>
        </w:rPr>
        <w:t xml:space="preserve"> 25 % de cofinancement</w:t>
      </w:r>
      <w:r w:rsidRPr="00D912D2">
        <w:rPr>
          <w:szCs w:val="20"/>
        </w:rPr>
        <w:t xml:space="preserve"> demandés aux porteurs de projets ne peuvent porter </w:t>
      </w:r>
      <w:r w:rsidRPr="00D912D2">
        <w:rPr>
          <w:b/>
          <w:szCs w:val="20"/>
        </w:rPr>
        <w:t>que sur les coûts éligibles</w:t>
      </w:r>
      <w:r w:rsidRPr="00D912D2">
        <w:rPr>
          <w:szCs w:val="20"/>
        </w:rPr>
        <w:t>, c'est-à-dire</w:t>
      </w:r>
      <w:r w:rsidRPr="00D912D2">
        <w:rPr>
          <w:b/>
          <w:szCs w:val="20"/>
        </w:rPr>
        <w:t xml:space="preserve"> les coûts salariaux</w:t>
      </w:r>
      <w:r w:rsidRPr="00D912D2">
        <w:rPr>
          <w:szCs w:val="20"/>
        </w:rPr>
        <w:t>.</w:t>
      </w:r>
    </w:p>
    <w:p w14:paraId="507A16BC" w14:textId="77777777" w:rsidR="00D401A3" w:rsidRPr="007C0875" w:rsidRDefault="00D401A3" w:rsidP="007C0875">
      <w:pPr>
        <w:spacing w:line="240" w:lineRule="auto"/>
        <w:jc w:val="left"/>
        <w:rPr>
          <w:szCs w:val="20"/>
        </w:rPr>
      </w:pPr>
    </w:p>
    <w:p w14:paraId="60CF50A8" w14:textId="499BAF46" w:rsidR="00A65A81" w:rsidRPr="00D912D2" w:rsidRDefault="005548CC" w:rsidP="007D6B57">
      <w:pPr>
        <w:pBdr>
          <w:top w:val="single" w:sz="12" w:space="4" w:color="000000"/>
          <w:left w:val="single" w:sz="12" w:space="4" w:color="000000"/>
          <w:bottom w:val="single" w:sz="12" w:space="1" w:color="000000"/>
          <w:right w:val="single" w:sz="12" w:space="4" w:color="000000"/>
        </w:pBdr>
        <w:spacing w:line="276" w:lineRule="auto"/>
        <w:rPr>
          <w:b/>
          <w:i/>
          <w:iCs/>
          <w:szCs w:val="20"/>
        </w:rPr>
      </w:pPr>
      <w:r w:rsidRPr="00D912D2">
        <w:rPr>
          <w:b/>
          <w:i/>
          <w:iCs/>
          <w:szCs w:val="20"/>
        </w:rPr>
        <w:lastRenderedPageBreak/>
        <w:t xml:space="preserve"> </w:t>
      </w:r>
      <w:r w:rsidR="00817ACA" w:rsidRPr="00D912D2">
        <w:rPr>
          <w:b/>
          <w:i/>
          <w:iCs/>
          <w:szCs w:val="20"/>
        </w:rPr>
        <w:t>6</w:t>
      </w:r>
      <w:r w:rsidR="00D401A3" w:rsidRPr="00D912D2">
        <w:rPr>
          <w:b/>
          <w:i/>
          <w:iCs/>
          <w:szCs w:val="20"/>
        </w:rPr>
        <w:t xml:space="preserve"> - </w:t>
      </w:r>
      <w:r w:rsidRPr="00D912D2">
        <w:rPr>
          <w:b/>
          <w:i/>
          <w:iCs/>
          <w:szCs w:val="20"/>
        </w:rPr>
        <w:t>P</w:t>
      </w:r>
      <w:r w:rsidR="001F7215" w:rsidRPr="00D912D2">
        <w:rPr>
          <w:b/>
          <w:i/>
          <w:iCs/>
          <w:szCs w:val="20"/>
        </w:rPr>
        <w:t>É</w:t>
      </w:r>
      <w:r w:rsidRPr="00D912D2">
        <w:rPr>
          <w:b/>
          <w:i/>
          <w:iCs/>
          <w:szCs w:val="20"/>
        </w:rPr>
        <w:t>RIM</w:t>
      </w:r>
      <w:r w:rsidR="001F7215" w:rsidRPr="00D912D2">
        <w:rPr>
          <w:b/>
          <w:i/>
          <w:iCs/>
          <w:szCs w:val="20"/>
        </w:rPr>
        <w:t>È</w:t>
      </w:r>
      <w:r w:rsidRPr="00D912D2">
        <w:rPr>
          <w:b/>
          <w:i/>
          <w:iCs/>
          <w:szCs w:val="20"/>
        </w:rPr>
        <w:t xml:space="preserve">TRE PARTENARIAL DU PROJET ET </w:t>
      </w:r>
      <w:r w:rsidR="001F7215" w:rsidRPr="00D912D2">
        <w:rPr>
          <w:b/>
          <w:i/>
          <w:iCs/>
          <w:szCs w:val="20"/>
        </w:rPr>
        <w:t>É</w:t>
      </w:r>
      <w:r w:rsidRPr="00D912D2">
        <w:rPr>
          <w:b/>
          <w:i/>
          <w:iCs/>
          <w:szCs w:val="20"/>
        </w:rPr>
        <w:t>LIGIBILIT</w:t>
      </w:r>
      <w:r w:rsidR="001F7215" w:rsidRPr="00D912D2">
        <w:rPr>
          <w:b/>
          <w:i/>
          <w:iCs/>
          <w:szCs w:val="20"/>
        </w:rPr>
        <w:t>É</w:t>
      </w:r>
      <w:r w:rsidRPr="00D912D2">
        <w:rPr>
          <w:b/>
          <w:i/>
          <w:iCs/>
          <w:szCs w:val="20"/>
        </w:rPr>
        <w:t xml:space="preserve"> DES D</w:t>
      </w:r>
      <w:r w:rsidR="001F7215" w:rsidRPr="00D912D2">
        <w:rPr>
          <w:b/>
          <w:i/>
          <w:iCs/>
          <w:szCs w:val="20"/>
        </w:rPr>
        <w:t>É</w:t>
      </w:r>
      <w:r w:rsidRPr="00D912D2">
        <w:rPr>
          <w:b/>
          <w:i/>
          <w:iCs/>
          <w:szCs w:val="20"/>
        </w:rPr>
        <w:t xml:space="preserve">PENSES DES </w:t>
      </w:r>
      <w:r w:rsidRPr="00D912D2">
        <w:rPr>
          <w:b/>
          <w:i/>
          <w:iCs/>
          <w:szCs w:val="20"/>
        </w:rPr>
        <w:tab/>
        <w:t>PARTENAIRES</w:t>
      </w:r>
    </w:p>
    <w:p w14:paraId="621C3F1E" w14:textId="3CA909C7" w:rsidR="00A65A81" w:rsidRPr="00D912D2" w:rsidRDefault="005548CC" w:rsidP="00D401A3">
      <w:pPr>
        <w:spacing w:before="240" w:line="276" w:lineRule="auto"/>
        <w:rPr>
          <w:szCs w:val="20"/>
        </w:rPr>
      </w:pPr>
      <w:r w:rsidRPr="00D912D2">
        <w:rPr>
          <w:szCs w:val="20"/>
        </w:rPr>
        <w:t xml:space="preserve">Le dispositif </w:t>
      </w:r>
      <w:r w:rsidR="00B13CA8">
        <w:rPr>
          <w:szCs w:val="20"/>
        </w:rPr>
        <w:t>Bienvenüe</w:t>
      </w:r>
      <w:r w:rsidR="00B13CA8" w:rsidRPr="00D912D2">
        <w:rPr>
          <w:szCs w:val="20"/>
        </w:rPr>
        <w:t xml:space="preserve"> </w:t>
      </w:r>
      <w:r w:rsidRPr="00D912D2">
        <w:rPr>
          <w:szCs w:val="20"/>
        </w:rPr>
        <w:t xml:space="preserve">n’impose pas de partenariat. Néanmoins, dans le cas où le projet impliquerait une ou plusieurs structures partenaires, les dépenses de ces dernières peuvent être prises en compte dans le calcul de l’assiette globale du projet, aux </w:t>
      </w:r>
      <w:r w:rsidRPr="00D912D2">
        <w:rPr>
          <w:b/>
          <w:szCs w:val="20"/>
        </w:rPr>
        <w:t>conditions suivantes</w:t>
      </w:r>
      <w:r w:rsidRPr="00D912D2">
        <w:rPr>
          <w:szCs w:val="20"/>
        </w:rPr>
        <w:t> :</w:t>
      </w:r>
    </w:p>
    <w:p w14:paraId="70AE5882" w14:textId="2D0444FB" w:rsidR="00A65A81" w:rsidRPr="00D912D2" w:rsidRDefault="005548CC" w:rsidP="00A33AAE">
      <w:pPr>
        <w:numPr>
          <w:ilvl w:val="0"/>
          <w:numId w:val="10"/>
        </w:numPr>
        <w:spacing w:before="60" w:line="276" w:lineRule="auto"/>
        <w:ind w:left="714" w:hanging="357"/>
        <w:rPr>
          <w:szCs w:val="20"/>
        </w:rPr>
      </w:pPr>
      <w:proofErr w:type="gramStart"/>
      <w:r w:rsidRPr="00D912D2">
        <w:rPr>
          <w:szCs w:val="20"/>
        </w:rPr>
        <w:t>les</w:t>
      </w:r>
      <w:proofErr w:type="gramEnd"/>
      <w:r w:rsidRPr="00D912D2">
        <w:rPr>
          <w:szCs w:val="20"/>
        </w:rPr>
        <w:t xml:space="preserve"> partenaires répondent aux </w:t>
      </w:r>
      <w:r w:rsidRPr="00D912D2">
        <w:rPr>
          <w:b/>
          <w:szCs w:val="20"/>
        </w:rPr>
        <w:t>critères d’éligibilité</w:t>
      </w:r>
      <w:r w:rsidRPr="00D912D2">
        <w:rPr>
          <w:szCs w:val="20"/>
        </w:rPr>
        <w:t xml:space="preserve"> indiqués au point 2 ;</w:t>
      </w:r>
    </w:p>
    <w:p w14:paraId="6B8661AB" w14:textId="33022938" w:rsidR="00A65A81" w:rsidRPr="00D912D2" w:rsidRDefault="005548CC" w:rsidP="00A33AAE">
      <w:pPr>
        <w:numPr>
          <w:ilvl w:val="0"/>
          <w:numId w:val="10"/>
        </w:numPr>
        <w:spacing w:before="60" w:line="276" w:lineRule="auto"/>
        <w:ind w:left="714" w:hanging="357"/>
        <w:rPr>
          <w:szCs w:val="20"/>
        </w:rPr>
      </w:pPr>
      <w:proofErr w:type="gramStart"/>
      <w:r w:rsidRPr="00D912D2">
        <w:rPr>
          <w:szCs w:val="20"/>
        </w:rPr>
        <w:t>leur</w:t>
      </w:r>
      <w:proofErr w:type="gramEnd"/>
      <w:r w:rsidRPr="00D912D2">
        <w:rPr>
          <w:szCs w:val="20"/>
        </w:rPr>
        <w:t xml:space="preserve"> participation et le montant financier de cette participation sont </w:t>
      </w:r>
      <w:r w:rsidRPr="00D912D2">
        <w:rPr>
          <w:b/>
          <w:szCs w:val="20"/>
        </w:rPr>
        <w:t xml:space="preserve">clairement indiqués dans le dossier de </w:t>
      </w:r>
      <w:r w:rsidR="006D2592" w:rsidRPr="00D912D2">
        <w:rPr>
          <w:b/>
          <w:szCs w:val="20"/>
        </w:rPr>
        <w:t xml:space="preserve">demande </w:t>
      </w:r>
      <w:r w:rsidRPr="00D912D2">
        <w:rPr>
          <w:b/>
          <w:szCs w:val="20"/>
        </w:rPr>
        <w:t>initial</w:t>
      </w:r>
      <w:r w:rsidRPr="00D912D2">
        <w:rPr>
          <w:szCs w:val="20"/>
        </w:rPr>
        <w:t xml:space="preserve"> déposé sur l’Extranet </w:t>
      </w:r>
      <w:r w:rsidR="006D2592" w:rsidRPr="00D912D2">
        <w:rPr>
          <w:szCs w:val="20"/>
        </w:rPr>
        <w:t>r</w:t>
      </w:r>
      <w:r w:rsidRPr="00D912D2">
        <w:rPr>
          <w:szCs w:val="20"/>
        </w:rPr>
        <w:t>echerche de la Région Bretagne.</w:t>
      </w:r>
    </w:p>
    <w:p w14:paraId="0BE1C89E" w14:textId="4F2B0323" w:rsidR="00CF0D74" w:rsidRPr="00D912D2" w:rsidRDefault="00302F52" w:rsidP="00537601">
      <w:pPr>
        <w:spacing w:before="120" w:line="276" w:lineRule="auto"/>
        <w:rPr>
          <w:szCs w:val="20"/>
        </w:rPr>
      </w:pPr>
      <w:r w:rsidRPr="00D912D2">
        <w:rPr>
          <w:szCs w:val="20"/>
        </w:rPr>
        <w:t xml:space="preserve">L’aide régionale attribuée au projet n’est néanmoins versée qu’à </w:t>
      </w:r>
      <w:r w:rsidRPr="00D912D2">
        <w:rPr>
          <w:b/>
          <w:szCs w:val="20"/>
        </w:rPr>
        <w:t>un seul bénéficiaire, à savoir l’établissement (organisme de tutelle) indiqué dans l</w:t>
      </w:r>
      <w:r w:rsidR="004B3546" w:rsidRPr="00D912D2">
        <w:rPr>
          <w:b/>
          <w:szCs w:val="20"/>
        </w:rPr>
        <w:t xml:space="preserve">e dossier de demande </w:t>
      </w:r>
      <w:r w:rsidR="004B3546" w:rsidRPr="00D912D2">
        <w:rPr>
          <w:szCs w:val="20"/>
        </w:rPr>
        <w:t>déposé</w:t>
      </w:r>
      <w:r w:rsidRPr="00D912D2">
        <w:rPr>
          <w:szCs w:val="20"/>
        </w:rPr>
        <w:t xml:space="preserve"> sur l’Extranet recherche.</w:t>
      </w:r>
    </w:p>
    <w:p w14:paraId="017F264D" w14:textId="38DCDB9C" w:rsidR="00645283" w:rsidRPr="00D912D2" w:rsidRDefault="00962533" w:rsidP="00962533">
      <w:pPr>
        <w:tabs>
          <w:tab w:val="left" w:pos="1860"/>
        </w:tabs>
        <w:rPr>
          <w:szCs w:val="20"/>
        </w:rPr>
      </w:pPr>
      <w:r w:rsidRPr="00D912D2">
        <w:rPr>
          <w:szCs w:val="20"/>
        </w:rPr>
        <w:tab/>
      </w:r>
    </w:p>
    <w:p w14:paraId="33851BF9" w14:textId="37527A93" w:rsidR="00A65A81" w:rsidRPr="00D912D2" w:rsidRDefault="005548CC" w:rsidP="007D6B57">
      <w:pPr>
        <w:pBdr>
          <w:top w:val="single" w:sz="12" w:space="4" w:color="000000"/>
          <w:left w:val="single" w:sz="12" w:space="4" w:color="000000"/>
          <w:bottom w:val="single" w:sz="12" w:space="1" w:color="000000"/>
          <w:right w:val="single" w:sz="12" w:space="4" w:color="000000"/>
        </w:pBdr>
        <w:spacing w:line="276" w:lineRule="auto"/>
        <w:rPr>
          <w:b/>
          <w:i/>
          <w:iCs/>
          <w:szCs w:val="20"/>
        </w:rPr>
      </w:pPr>
      <w:r w:rsidRPr="00D912D2">
        <w:rPr>
          <w:b/>
          <w:i/>
          <w:iCs/>
          <w:szCs w:val="20"/>
        </w:rPr>
        <w:t xml:space="preserve"> </w:t>
      </w:r>
      <w:r w:rsidR="00817ACA" w:rsidRPr="00D912D2">
        <w:rPr>
          <w:b/>
          <w:i/>
          <w:iCs/>
          <w:szCs w:val="20"/>
        </w:rPr>
        <w:t>7</w:t>
      </w:r>
      <w:r w:rsidRPr="00D912D2">
        <w:rPr>
          <w:b/>
          <w:i/>
          <w:iCs/>
          <w:szCs w:val="20"/>
        </w:rPr>
        <w:t xml:space="preserve"> – MODALIT</w:t>
      </w:r>
      <w:r w:rsidR="001F7215" w:rsidRPr="00D912D2">
        <w:rPr>
          <w:b/>
          <w:i/>
          <w:iCs/>
          <w:szCs w:val="20"/>
        </w:rPr>
        <w:t>É</w:t>
      </w:r>
      <w:r w:rsidRPr="00D912D2">
        <w:rPr>
          <w:b/>
          <w:i/>
          <w:iCs/>
          <w:szCs w:val="20"/>
        </w:rPr>
        <w:t xml:space="preserve">S DE DEPOT </w:t>
      </w:r>
      <w:r w:rsidR="002A758C" w:rsidRPr="00D912D2">
        <w:rPr>
          <w:b/>
          <w:i/>
          <w:iCs/>
          <w:szCs w:val="20"/>
        </w:rPr>
        <w:t>ET DE S</w:t>
      </w:r>
      <w:r w:rsidR="001F7215" w:rsidRPr="00D912D2">
        <w:rPr>
          <w:b/>
          <w:i/>
          <w:iCs/>
          <w:szCs w:val="20"/>
        </w:rPr>
        <w:t>É</w:t>
      </w:r>
      <w:r w:rsidR="002A758C" w:rsidRPr="00D912D2">
        <w:rPr>
          <w:b/>
          <w:i/>
          <w:iCs/>
          <w:szCs w:val="20"/>
        </w:rPr>
        <w:t>LECTION DES PROJETS</w:t>
      </w:r>
    </w:p>
    <w:p w14:paraId="48417559" w14:textId="4C23BBC9" w:rsidR="00A65A81" w:rsidRPr="00D912D2" w:rsidRDefault="00A020A2" w:rsidP="00D401A3">
      <w:pPr>
        <w:spacing w:before="240" w:line="276" w:lineRule="auto"/>
        <w:rPr>
          <w:szCs w:val="20"/>
        </w:rPr>
      </w:pPr>
      <w:r w:rsidRPr="00D912D2">
        <w:rPr>
          <w:szCs w:val="20"/>
        </w:rPr>
        <w:t>Le règlement</w:t>
      </w:r>
      <w:r w:rsidR="009845C1" w:rsidRPr="00D912D2">
        <w:rPr>
          <w:szCs w:val="20"/>
        </w:rPr>
        <w:t>, le calendrier et les divers documents relatifs à la campagne annuelle</w:t>
      </w:r>
      <w:r w:rsidR="005548CC" w:rsidRPr="00D912D2">
        <w:rPr>
          <w:szCs w:val="20"/>
        </w:rPr>
        <w:t xml:space="preserve"> </w:t>
      </w:r>
      <w:r w:rsidR="009845C1" w:rsidRPr="00D912D2">
        <w:rPr>
          <w:szCs w:val="20"/>
        </w:rPr>
        <w:t xml:space="preserve">sont </w:t>
      </w:r>
      <w:r w:rsidR="005548CC" w:rsidRPr="00D912D2">
        <w:rPr>
          <w:szCs w:val="20"/>
        </w:rPr>
        <w:t>adressé</w:t>
      </w:r>
      <w:r w:rsidR="009845C1" w:rsidRPr="00D912D2">
        <w:rPr>
          <w:szCs w:val="20"/>
        </w:rPr>
        <w:t>s</w:t>
      </w:r>
      <w:r w:rsidR="005548CC" w:rsidRPr="00D912D2">
        <w:rPr>
          <w:szCs w:val="20"/>
        </w:rPr>
        <w:t xml:space="preserve"> aux établissements éligibles au dispositif.</w:t>
      </w:r>
    </w:p>
    <w:p w14:paraId="4E7A3AA5" w14:textId="7454E610" w:rsidR="00930FB4" w:rsidRPr="00D912D2" w:rsidRDefault="00E4204D" w:rsidP="000301AE">
      <w:pPr>
        <w:spacing w:before="120" w:line="276" w:lineRule="auto"/>
        <w:rPr>
          <w:b/>
          <w:szCs w:val="20"/>
        </w:rPr>
      </w:pPr>
      <w:r w:rsidRPr="00D912D2">
        <w:rPr>
          <w:b/>
          <w:szCs w:val="20"/>
        </w:rPr>
        <w:t>Un porteur ne peut déposer qu’un seul projet par campagne.</w:t>
      </w:r>
    </w:p>
    <w:p w14:paraId="25A90471" w14:textId="2AF19BE9" w:rsidR="00645283" w:rsidRPr="00D912D2" w:rsidRDefault="00645283" w:rsidP="000301AE">
      <w:pPr>
        <w:spacing w:before="120" w:line="276" w:lineRule="auto"/>
        <w:rPr>
          <w:b/>
          <w:szCs w:val="20"/>
        </w:rPr>
      </w:pPr>
      <w:r w:rsidRPr="00D912D2">
        <w:rPr>
          <w:b/>
          <w:szCs w:val="20"/>
        </w:rPr>
        <w:t>La procédure de dépôt et de sélection des projets se déroule de la manière suivante :</w:t>
      </w:r>
    </w:p>
    <w:p w14:paraId="0070BB16" w14:textId="100B2A4E" w:rsidR="00FE06FB" w:rsidRPr="00D912D2" w:rsidRDefault="00086BF5" w:rsidP="007072E4">
      <w:pPr>
        <w:spacing w:before="120" w:line="240" w:lineRule="auto"/>
        <w:rPr>
          <w:rFonts w:cs="Times New Roman"/>
          <w:b/>
          <w:i/>
          <w:color w:val="000000"/>
          <w:szCs w:val="20"/>
          <w:u w:val="single"/>
          <w:lang w:eastAsia="fr-FR"/>
        </w:rPr>
      </w:pPr>
      <w:r w:rsidRPr="00D912D2">
        <w:rPr>
          <w:b/>
          <w:i/>
          <w:iCs/>
          <w:szCs w:val="20"/>
          <w:u w:val="single"/>
        </w:rPr>
        <w:t>É</w:t>
      </w:r>
      <w:r w:rsidR="00FE06FB" w:rsidRPr="00D912D2">
        <w:rPr>
          <w:rFonts w:cs="Times New Roman"/>
          <w:b/>
          <w:i/>
          <w:color w:val="000000"/>
          <w:szCs w:val="20"/>
          <w:u w:val="single"/>
          <w:lang w:eastAsia="fr-FR"/>
        </w:rPr>
        <w:t>tape 1 - Dépôt des projets par les porteurs sur l'Extranet recherche</w:t>
      </w:r>
      <w:r w:rsidR="00FE06FB" w:rsidRPr="00D912D2">
        <w:rPr>
          <w:rStyle w:val="Appelnotedebasdep"/>
          <w:rFonts w:cs="Times New Roman"/>
          <w:b/>
          <w:i/>
          <w:color w:val="000000"/>
          <w:szCs w:val="20"/>
          <w:lang w:eastAsia="fr-FR"/>
        </w:rPr>
        <w:footnoteReference w:id="6"/>
      </w:r>
    </w:p>
    <w:p w14:paraId="0219D45F" w14:textId="372641D3" w:rsidR="00FE06FB" w:rsidRPr="00D912D2" w:rsidRDefault="00FE06FB" w:rsidP="00793919">
      <w:pPr>
        <w:spacing w:before="120" w:line="276" w:lineRule="auto"/>
      </w:pPr>
      <w:r w:rsidRPr="00D912D2">
        <w:rPr>
          <w:szCs w:val="20"/>
        </w:rPr>
        <w:t>Les porteurs de projets remplissent un formulaire de demande en ligne sur</w:t>
      </w:r>
      <w:r w:rsidRPr="00D912D2">
        <w:rPr>
          <w:b/>
          <w:bCs/>
          <w:szCs w:val="20"/>
        </w:rPr>
        <w:t xml:space="preserve"> l’Extranet recherche de la Région Bretagne</w:t>
      </w:r>
      <w:r w:rsidRPr="00D912D2">
        <w:rPr>
          <w:szCs w:val="20"/>
        </w:rPr>
        <w:t xml:space="preserve"> dans les délais impartis, en précisant l’établissement qui sera le porteur administratif et financier du projet</w:t>
      </w:r>
      <w:r w:rsidR="00C74C69" w:rsidRPr="00D912D2">
        <w:rPr>
          <w:szCs w:val="20"/>
        </w:rPr>
        <w:t>,</w:t>
      </w:r>
      <w:r w:rsidRPr="00D912D2">
        <w:rPr>
          <w:szCs w:val="20"/>
        </w:rPr>
        <w:t xml:space="preserve"> et qui sera donc le bénéficiaire de l’aide régionale en cas de sélection du projet par la Région. Ce formulaire doit être renseigné </w:t>
      </w:r>
      <w:r w:rsidRPr="00D912D2">
        <w:rPr>
          <w:b/>
          <w:szCs w:val="20"/>
        </w:rPr>
        <w:t>en langue française</w:t>
      </w:r>
      <w:r w:rsidRPr="00D912D2">
        <w:rPr>
          <w:szCs w:val="20"/>
        </w:rPr>
        <w:t xml:space="preserve">. </w:t>
      </w:r>
      <w:r w:rsidR="00FE6213">
        <w:rPr>
          <w:szCs w:val="20"/>
        </w:rPr>
        <w:t>En cas de besoin, l</w:t>
      </w:r>
      <w:r w:rsidR="00135B98">
        <w:rPr>
          <w:szCs w:val="20"/>
        </w:rPr>
        <w:t>’établissement pourrait être sollicité pour apporter une version</w:t>
      </w:r>
      <w:r w:rsidR="00FE6213">
        <w:rPr>
          <w:szCs w:val="20"/>
        </w:rPr>
        <w:t xml:space="preserve"> anglaise </w:t>
      </w:r>
      <w:r w:rsidR="00135B98">
        <w:rPr>
          <w:szCs w:val="20"/>
        </w:rPr>
        <w:t xml:space="preserve">du dossier </w:t>
      </w:r>
      <w:r w:rsidR="00FE6213">
        <w:rPr>
          <w:szCs w:val="20"/>
        </w:rPr>
        <w:t>(traduction assermentée) en vue de faciliter l’évaluation scientifique</w:t>
      </w:r>
      <w:r w:rsidR="00135B98">
        <w:rPr>
          <w:szCs w:val="20"/>
        </w:rPr>
        <w:t xml:space="preserve"> par l’ANR. </w:t>
      </w:r>
    </w:p>
    <w:p w14:paraId="7FC5E04E" w14:textId="07041B0A" w:rsidR="00FE06FB" w:rsidRPr="00D912D2" w:rsidRDefault="00FE06FB" w:rsidP="007072E4">
      <w:pPr>
        <w:spacing w:before="120" w:line="240" w:lineRule="auto"/>
        <w:rPr>
          <w:rFonts w:cs="Arial"/>
          <w:color w:val="000000"/>
          <w:szCs w:val="20"/>
          <w:lang w:eastAsia="fr-FR"/>
        </w:rPr>
      </w:pPr>
      <w:r w:rsidRPr="00D912D2">
        <w:rPr>
          <w:rFonts w:cs="Times New Roman"/>
          <w:color w:val="000000"/>
          <w:szCs w:val="20"/>
          <w:lang w:eastAsia="fr-FR"/>
        </w:rPr>
        <w:t>Dans ce cadre, les données suivantes sont demandées :</w:t>
      </w:r>
    </w:p>
    <w:p w14:paraId="653AFBB5" w14:textId="09428958" w:rsidR="00FE06FB" w:rsidRPr="00D912D2" w:rsidRDefault="00FE06FB" w:rsidP="007072E4">
      <w:pPr>
        <w:numPr>
          <w:ilvl w:val="0"/>
          <w:numId w:val="10"/>
        </w:numPr>
        <w:spacing w:before="60" w:line="276" w:lineRule="auto"/>
        <w:ind w:left="714" w:hanging="357"/>
        <w:rPr>
          <w:szCs w:val="20"/>
        </w:rPr>
      </w:pPr>
      <w:proofErr w:type="gramStart"/>
      <w:r w:rsidRPr="00D912D2">
        <w:rPr>
          <w:szCs w:val="20"/>
        </w:rPr>
        <w:t>un</w:t>
      </w:r>
      <w:proofErr w:type="gramEnd"/>
      <w:r w:rsidRPr="00D912D2">
        <w:rPr>
          <w:szCs w:val="20"/>
        </w:rPr>
        <w:t xml:space="preserve"> acronyme (de 8 lettres maximum) et l'intitulé du projet</w:t>
      </w:r>
      <w:r w:rsidR="00460040" w:rsidRPr="00D912D2">
        <w:rPr>
          <w:szCs w:val="20"/>
        </w:rPr>
        <w:t xml:space="preserve"> (rédigé en langue française)</w:t>
      </w:r>
      <w:r w:rsidRPr="00D912D2">
        <w:rPr>
          <w:szCs w:val="20"/>
        </w:rPr>
        <w:t> ;</w:t>
      </w:r>
    </w:p>
    <w:p w14:paraId="22D73F60" w14:textId="49CBF4A1" w:rsidR="00FE06FB" w:rsidRPr="00D912D2" w:rsidRDefault="00FE06FB" w:rsidP="007072E4">
      <w:pPr>
        <w:numPr>
          <w:ilvl w:val="0"/>
          <w:numId w:val="10"/>
        </w:numPr>
        <w:spacing w:before="60" w:line="276" w:lineRule="auto"/>
        <w:ind w:left="714" w:hanging="357"/>
        <w:rPr>
          <w:szCs w:val="20"/>
        </w:rPr>
      </w:pPr>
      <w:proofErr w:type="gramStart"/>
      <w:r w:rsidRPr="00D912D2">
        <w:rPr>
          <w:szCs w:val="20"/>
        </w:rPr>
        <w:t>les</w:t>
      </w:r>
      <w:proofErr w:type="gramEnd"/>
      <w:r w:rsidRPr="00D912D2">
        <w:rPr>
          <w:szCs w:val="20"/>
        </w:rPr>
        <w:t xml:space="preserve"> références de l’organisme de tutelle (établissement) ;</w:t>
      </w:r>
    </w:p>
    <w:p w14:paraId="36A6F994" w14:textId="524E0829" w:rsidR="00FE06FB" w:rsidRPr="00D912D2" w:rsidRDefault="00FE06FB" w:rsidP="007072E4">
      <w:pPr>
        <w:numPr>
          <w:ilvl w:val="0"/>
          <w:numId w:val="10"/>
        </w:numPr>
        <w:spacing w:before="60" w:line="276" w:lineRule="auto"/>
        <w:ind w:left="714" w:hanging="357"/>
        <w:rPr>
          <w:szCs w:val="20"/>
        </w:rPr>
      </w:pPr>
      <w:proofErr w:type="gramStart"/>
      <w:r w:rsidRPr="00D912D2">
        <w:rPr>
          <w:szCs w:val="20"/>
        </w:rPr>
        <w:t>les</w:t>
      </w:r>
      <w:proofErr w:type="gramEnd"/>
      <w:r w:rsidRPr="00D912D2">
        <w:rPr>
          <w:szCs w:val="20"/>
        </w:rPr>
        <w:t xml:space="preserve"> références du porteur et de l’unité de recherche porteuse du projet ;</w:t>
      </w:r>
    </w:p>
    <w:p w14:paraId="3EC162FB" w14:textId="589245C1" w:rsidR="00FE06FB" w:rsidRPr="00D912D2" w:rsidRDefault="00FE06FB" w:rsidP="00AC7418">
      <w:pPr>
        <w:numPr>
          <w:ilvl w:val="0"/>
          <w:numId w:val="10"/>
        </w:numPr>
        <w:spacing w:before="60" w:line="276" w:lineRule="auto"/>
        <w:rPr>
          <w:szCs w:val="20"/>
        </w:rPr>
      </w:pPr>
      <w:proofErr w:type="gramStart"/>
      <w:r w:rsidRPr="00D912D2">
        <w:rPr>
          <w:szCs w:val="20"/>
        </w:rPr>
        <w:t>le</w:t>
      </w:r>
      <w:proofErr w:type="gramEnd"/>
      <w:r w:rsidRPr="00D912D2">
        <w:rPr>
          <w:szCs w:val="20"/>
        </w:rPr>
        <w:t xml:space="preserve"> DIS </w:t>
      </w:r>
      <w:r w:rsidR="00AC7418" w:rsidRPr="00D912D2">
        <w:rPr>
          <w:szCs w:val="20"/>
        </w:rPr>
        <w:t xml:space="preserve">et le levier thématique </w:t>
      </w:r>
      <w:r w:rsidRPr="00D912D2">
        <w:rPr>
          <w:szCs w:val="20"/>
        </w:rPr>
        <w:t>de rattachement prioritaire du projet</w:t>
      </w:r>
      <w:r w:rsidR="00AC7418" w:rsidRPr="00D912D2" w:rsidDel="00AC7418">
        <w:rPr>
          <w:szCs w:val="20"/>
        </w:rPr>
        <w:t xml:space="preserve"> </w:t>
      </w:r>
      <w:r w:rsidRPr="00D912D2">
        <w:rPr>
          <w:szCs w:val="20"/>
        </w:rPr>
        <w:t xml:space="preserve">(ou projet </w:t>
      </w:r>
      <w:r w:rsidR="00075C80" w:rsidRPr="00D912D2">
        <w:rPr>
          <w:szCs w:val="20"/>
        </w:rPr>
        <w:t> « hors DIS »</w:t>
      </w:r>
      <w:r w:rsidRPr="00D912D2">
        <w:rPr>
          <w:szCs w:val="20"/>
        </w:rPr>
        <w:t>, s’il n’est rattaché à aucun DIS)</w:t>
      </w:r>
      <w:r w:rsidR="00AC7418" w:rsidRPr="00D912D2">
        <w:rPr>
          <w:szCs w:val="20"/>
        </w:rPr>
        <w:t>, et/ou l’inscription éventuelle dans l’axe transversal de la S3</w:t>
      </w:r>
      <w:r w:rsidR="00F71DFE" w:rsidRPr="00D912D2">
        <w:rPr>
          <w:szCs w:val="20"/>
        </w:rPr>
        <w:t xml:space="preserve"> </w:t>
      </w:r>
      <w:r w:rsidR="00F14F75" w:rsidRPr="00D912D2">
        <w:rPr>
          <w:szCs w:val="20"/>
        </w:rPr>
        <w:t>;</w:t>
      </w:r>
    </w:p>
    <w:p w14:paraId="1BFF0436" w14:textId="762B535D" w:rsidR="00FE06FB" w:rsidRPr="00D912D2" w:rsidRDefault="00FE06FB" w:rsidP="007072E4">
      <w:pPr>
        <w:numPr>
          <w:ilvl w:val="0"/>
          <w:numId w:val="10"/>
        </w:numPr>
        <w:spacing w:before="60" w:line="276" w:lineRule="auto"/>
        <w:ind w:left="714" w:hanging="357"/>
        <w:rPr>
          <w:szCs w:val="20"/>
        </w:rPr>
      </w:pPr>
      <w:proofErr w:type="gramStart"/>
      <w:r w:rsidRPr="00D912D2">
        <w:rPr>
          <w:szCs w:val="20"/>
        </w:rPr>
        <w:t>des</w:t>
      </w:r>
      <w:proofErr w:type="gramEnd"/>
      <w:r w:rsidRPr="00D912D2">
        <w:rPr>
          <w:szCs w:val="20"/>
        </w:rPr>
        <w:t xml:space="preserve"> éléments de description du projet</w:t>
      </w:r>
      <w:r w:rsidR="00F71DFE" w:rsidRPr="00D912D2">
        <w:rPr>
          <w:szCs w:val="20"/>
        </w:rPr>
        <w:t xml:space="preserve"> </w:t>
      </w:r>
      <w:r w:rsidR="00F14F75" w:rsidRPr="00D912D2">
        <w:rPr>
          <w:szCs w:val="20"/>
        </w:rPr>
        <w:t>;</w:t>
      </w:r>
      <w:r w:rsidRPr="00D912D2">
        <w:rPr>
          <w:szCs w:val="20"/>
        </w:rPr>
        <w:t xml:space="preserve"> </w:t>
      </w:r>
    </w:p>
    <w:p w14:paraId="21515AF8" w14:textId="0D849CDB" w:rsidR="00FE06FB" w:rsidRPr="00D912D2" w:rsidRDefault="00FE06FB" w:rsidP="007072E4">
      <w:pPr>
        <w:numPr>
          <w:ilvl w:val="0"/>
          <w:numId w:val="10"/>
        </w:numPr>
        <w:spacing w:before="60" w:line="276" w:lineRule="auto"/>
        <w:ind w:left="714" w:hanging="357"/>
        <w:rPr>
          <w:szCs w:val="20"/>
        </w:rPr>
      </w:pPr>
      <w:r w:rsidRPr="00D912D2">
        <w:rPr>
          <w:szCs w:val="20"/>
        </w:rPr>
        <w:t xml:space="preserve">des informations concernant le profil </w:t>
      </w:r>
      <w:proofErr w:type="spellStart"/>
      <w:r w:rsidRPr="00D912D2">
        <w:rPr>
          <w:szCs w:val="20"/>
        </w:rPr>
        <w:t>du</w:t>
      </w:r>
      <w:r w:rsidR="005C03E4" w:rsidRPr="00D912D2">
        <w:rPr>
          <w:szCs w:val="20"/>
        </w:rPr>
        <w:t>·</w:t>
      </w:r>
      <w:r w:rsidRPr="00D912D2">
        <w:rPr>
          <w:szCs w:val="20"/>
        </w:rPr>
        <w:t>de</w:t>
      </w:r>
      <w:proofErr w:type="spellEnd"/>
      <w:r w:rsidRPr="00D912D2">
        <w:rPr>
          <w:szCs w:val="20"/>
        </w:rPr>
        <w:t xml:space="preserve"> la </w:t>
      </w:r>
      <w:proofErr w:type="spellStart"/>
      <w:r w:rsidRPr="00D912D2">
        <w:rPr>
          <w:szCs w:val="20"/>
        </w:rPr>
        <w:t>candidat</w:t>
      </w:r>
      <w:r w:rsidR="005C03E4" w:rsidRPr="00D912D2">
        <w:rPr>
          <w:szCs w:val="20"/>
        </w:rPr>
        <w:t>·</w:t>
      </w:r>
      <w:r w:rsidRPr="00D912D2">
        <w:rPr>
          <w:szCs w:val="20"/>
        </w:rPr>
        <w:t>e</w:t>
      </w:r>
      <w:proofErr w:type="spellEnd"/>
      <w:r w:rsidRPr="00D912D2">
        <w:rPr>
          <w:szCs w:val="20"/>
        </w:rPr>
        <w:t xml:space="preserve"> (</w:t>
      </w:r>
      <w:proofErr w:type="spellStart"/>
      <w:r w:rsidRPr="00D912D2">
        <w:rPr>
          <w:szCs w:val="20"/>
        </w:rPr>
        <w:t>souhaité</w:t>
      </w:r>
      <w:r w:rsidR="005C03E4" w:rsidRPr="00D912D2">
        <w:rPr>
          <w:szCs w:val="20"/>
        </w:rPr>
        <w:t>·</w:t>
      </w:r>
      <w:r w:rsidRPr="00D912D2">
        <w:rPr>
          <w:szCs w:val="20"/>
        </w:rPr>
        <w:t>e</w:t>
      </w:r>
      <w:proofErr w:type="spellEnd"/>
      <w:r w:rsidRPr="00D912D2">
        <w:rPr>
          <w:szCs w:val="20"/>
        </w:rPr>
        <w:t xml:space="preserve"> ou </w:t>
      </w:r>
      <w:proofErr w:type="spellStart"/>
      <w:r w:rsidRPr="00D912D2">
        <w:rPr>
          <w:szCs w:val="20"/>
        </w:rPr>
        <w:t>identifié</w:t>
      </w:r>
      <w:r w:rsidR="005C03E4" w:rsidRPr="00D912D2">
        <w:rPr>
          <w:szCs w:val="20"/>
        </w:rPr>
        <w:t>·</w:t>
      </w:r>
      <w:r w:rsidRPr="00D912D2">
        <w:rPr>
          <w:szCs w:val="20"/>
        </w:rPr>
        <w:t>e</w:t>
      </w:r>
      <w:proofErr w:type="spellEnd"/>
      <w:r w:rsidR="00674285" w:rsidRPr="00D912D2">
        <w:rPr>
          <w:rStyle w:val="Appelnotedebasdep"/>
          <w:szCs w:val="20"/>
        </w:rPr>
        <w:footnoteReference w:id="7"/>
      </w:r>
      <w:r w:rsidRPr="00D912D2">
        <w:rPr>
          <w:szCs w:val="20"/>
        </w:rPr>
        <w:t>)</w:t>
      </w:r>
      <w:r w:rsidR="00F71DFE" w:rsidRPr="00D912D2">
        <w:rPr>
          <w:szCs w:val="20"/>
        </w:rPr>
        <w:t xml:space="preserve"> </w:t>
      </w:r>
      <w:r w:rsidR="00087509" w:rsidRPr="00D912D2">
        <w:rPr>
          <w:szCs w:val="20"/>
        </w:rPr>
        <w:t>;</w:t>
      </w:r>
    </w:p>
    <w:p w14:paraId="06239406" w14:textId="4066E978" w:rsidR="00615370" w:rsidRDefault="00FE06FB" w:rsidP="006244DA">
      <w:pPr>
        <w:numPr>
          <w:ilvl w:val="0"/>
          <w:numId w:val="10"/>
        </w:numPr>
        <w:spacing w:before="60" w:line="276" w:lineRule="auto"/>
        <w:ind w:left="714" w:hanging="357"/>
        <w:rPr>
          <w:b/>
          <w:i/>
          <w:iCs/>
          <w:szCs w:val="20"/>
          <w:u w:val="single"/>
        </w:rPr>
      </w:pPr>
      <w:proofErr w:type="gramStart"/>
      <w:r w:rsidRPr="00D912D2">
        <w:rPr>
          <w:szCs w:val="20"/>
        </w:rPr>
        <w:t>les</w:t>
      </w:r>
      <w:proofErr w:type="gramEnd"/>
      <w:r w:rsidRPr="00D912D2">
        <w:rPr>
          <w:szCs w:val="20"/>
        </w:rPr>
        <w:t xml:space="preserve"> informations concernant le budget du projet</w:t>
      </w:r>
      <w:r w:rsidR="00087509" w:rsidRPr="00D912D2">
        <w:rPr>
          <w:szCs w:val="20"/>
        </w:rPr>
        <w:t>.</w:t>
      </w:r>
    </w:p>
    <w:p w14:paraId="48517969" w14:textId="77F131EC" w:rsidR="00615370" w:rsidRDefault="00615370" w:rsidP="006244DA">
      <w:pPr>
        <w:spacing w:before="60" w:line="276" w:lineRule="auto"/>
        <w:rPr>
          <w:b/>
          <w:i/>
          <w:iCs/>
          <w:szCs w:val="20"/>
          <w:u w:val="single"/>
        </w:rPr>
      </w:pPr>
    </w:p>
    <w:p w14:paraId="7B153340" w14:textId="7A8D2270" w:rsidR="00615370" w:rsidRDefault="00615370" w:rsidP="006244DA">
      <w:pPr>
        <w:spacing w:before="60" w:line="276" w:lineRule="auto"/>
        <w:rPr>
          <w:b/>
          <w:i/>
          <w:iCs/>
          <w:szCs w:val="20"/>
          <w:u w:val="single"/>
        </w:rPr>
      </w:pPr>
    </w:p>
    <w:p w14:paraId="74523C4D" w14:textId="694474AF" w:rsidR="00A24770" w:rsidRPr="00615370" w:rsidRDefault="00A24770" w:rsidP="006244DA">
      <w:pPr>
        <w:spacing w:before="60" w:line="276" w:lineRule="auto"/>
        <w:rPr>
          <w:b/>
          <w:i/>
          <w:iCs/>
          <w:szCs w:val="20"/>
          <w:u w:val="single"/>
        </w:rPr>
      </w:pPr>
    </w:p>
    <w:p w14:paraId="23D9D311" w14:textId="5D0A6F07" w:rsidR="007072E4" w:rsidRPr="00D912D2" w:rsidRDefault="00086BF5" w:rsidP="007072E4">
      <w:pPr>
        <w:spacing w:before="120" w:line="240" w:lineRule="auto"/>
        <w:rPr>
          <w:rFonts w:cs="Times New Roman"/>
          <w:b/>
          <w:i/>
          <w:color w:val="000000"/>
          <w:szCs w:val="20"/>
          <w:u w:val="single"/>
          <w:lang w:eastAsia="fr-FR"/>
        </w:rPr>
      </w:pPr>
      <w:r w:rsidRPr="00D912D2">
        <w:rPr>
          <w:b/>
          <w:i/>
          <w:iCs/>
          <w:szCs w:val="20"/>
          <w:u w:val="single"/>
        </w:rPr>
        <w:lastRenderedPageBreak/>
        <w:t>É</w:t>
      </w:r>
      <w:r w:rsidR="007072E4" w:rsidRPr="00D912D2">
        <w:rPr>
          <w:rFonts w:cs="Times New Roman"/>
          <w:b/>
          <w:i/>
          <w:color w:val="000000"/>
          <w:szCs w:val="20"/>
          <w:u w:val="single"/>
          <w:lang w:eastAsia="fr-FR"/>
        </w:rPr>
        <w:t xml:space="preserve">tape 2 – Instruction des </w:t>
      </w:r>
      <w:r w:rsidR="00D33FB9" w:rsidRPr="00D912D2">
        <w:rPr>
          <w:rFonts w:cs="Times New Roman"/>
          <w:b/>
          <w:i/>
          <w:color w:val="000000"/>
          <w:szCs w:val="20"/>
          <w:u w:val="single"/>
          <w:lang w:eastAsia="fr-FR"/>
        </w:rPr>
        <w:t>projets</w:t>
      </w:r>
      <w:r w:rsidR="007072E4" w:rsidRPr="00D912D2">
        <w:rPr>
          <w:rFonts w:cs="Times New Roman"/>
          <w:b/>
          <w:i/>
          <w:color w:val="000000"/>
          <w:szCs w:val="20"/>
          <w:u w:val="single"/>
          <w:lang w:eastAsia="fr-FR"/>
        </w:rPr>
        <w:t xml:space="preserve"> relevant de leur tutelle par les établissements sur l'Extranet recherche</w:t>
      </w:r>
    </w:p>
    <w:p w14:paraId="3FA343DF" w14:textId="07A113BC" w:rsidR="00A65A81" w:rsidRPr="00D912D2" w:rsidRDefault="005548CC" w:rsidP="000301AE">
      <w:pPr>
        <w:spacing w:before="120" w:line="276" w:lineRule="auto"/>
      </w:pPr>
      <w:r w:rsidRPr="00D912D2">
        <w:rPr>
          <w:szCs w:val="20"/>
        </w:rPr>
        <w:t xml:space="preserve">Une fois </w:t>
      </w:r>
      <w:r w:rsidR="001A3B38" w:rsidRPr="00D912D2">
        <w:rPr>
          <w:szCs w:val="20"/>
        </w:rPr>
        <w:t>la phase de dépôt terminée</w:t>
      </w:r>
      <w:r w:rsidRPr="00D912D2">
        <w:rPr>
          <w:szCs w:val="20"/>
        </w:rPr>
        <w:t xml:space="preserve">, les établissements indiqués comme </w:t>
      </w:r>
      <w:r w:rsidR="001A3B38" w:rsidRPr="00D912D2">
        <w:rPr>
          <w:szCs w:val="20"/>
        </w:rPr>
        <w:t xml:space="preserve">organismes de tutelle </w:t>
      </w:r>
      <w:r w:rsidRPr="00D912D2">
        <w:rPr>
          <w:szCs w:val="20"/>
        </w:rPr>
        <w:t xml:space="preserve">valident </w:t>
      </w:r>
      <w:r w:rsidR="007072E4" w:rsidRPr="00D912D2">
        <w:rPr>
          <w:szCs w:val="20"/>
        </w:rPr>
        <w:t>(</w:t>
      </w:r>
      <w:r w:rsidR="007072E4" w:rsidRPr="00D912D2">
        <w:rPr>
          <w:rFonts w:cs="Times New Roman"/>
          <w:b/>
          <w:color w:val="000000"/>
          <w:szCs w:val="20"/>
          <w:lang w:eastAsia="fr-FR"/>
        </w:rPr>
        <w:t xml:space="preserve">avis </w:t>
      </w:r>
      <w:r w:rsidR="007072E4" w:rsidRPr="00D912D2">
        <w:rPr>
          <w:rFonts w:cs="Times New Roman"/>
          <w:color w:val="000000"/>
          <w:szCs w:val="20"/>
          <w:lang w:eastAsia="fr-FR"/>
        </w:rPr>
        <w:t>« favorable » ou « défavorable »)</w:t>
      </w:r>
      <w:r w:rsidR="007072E4" w:rsidRPr="00D912D2">
        <w:rPr>
          <w:szCs w:val="20"/>
        </w:rPr>
        <w:t xml:space="preserve"> sur l’Extranet recherche. Ils y déposent par ailleurs </w:t>
      </w:r>
      <w:r w:rsidRPr="00D912D2">
        <w:rPr>
          <w:szCs w:val="20"/>
        </w:rPr>
        <w:t xml:space="preserve">une </w:t>
      </w:r>
      <w:r w:rsidRPr="00D912D2">
        <w:rPr>
          <w:b/>
          <w:bCs/>
          <w:szCs w:val="20"/>
        </w:rPr>
        <w:t>lettre de saisine récapitulant l’ensemble des projets déposés</w:t>
      </w:r>
      <w:r w:rsidRPr="00D912D2">
        <w:rPr>
          <w:szCs w:val="20"/>
        </w:rPr>
        <w:t xml:space="preserve"> sous </w:t>
      </w:r>
      <w:r w:rsidR="007072E4" w:rsidRPr="00D912D2">
        <w:rPr>
          <w:szCs w:val="20"/>
        </w:rPr>
        <w:t>leur</w:t>
      </w:r>
      <w:r w:rsidRPr="00D912D2">
        <w:rPr>
          <w:szCs w:val="20"/>
        </w:rPr>
        <w:t xml:space="preserve"> tutelle administrative et financière. </w:t>
      </w:r>
    </w:p>
    <w:p w14:paraId="756F8884" w14:textId="77777777" w:rsidR="00A65A81" w:rsidRPr="00D912D2" w:rsidRDefault="005548CC" w:rsidP="000301AE">
      <w:pPr>
        <w:spacing w:before="120" w:line="276" w:lineRule="auto"/>
      </w:pPr>
      <w:r w:rsidRPr="00D912D2">
        <w:rPr>
          <w:b/>
          <w:bCs/>
          <w:szCs w:val="20"/>
        </w:rPr>
        <w:t>Cette lettre de saisine doit impérativement préciser </w:t>
      </w:r>
      <w:r w:rsidRPr="00D912D2">
        <w:rPr>
          <w:szCs w:val="20"/>
        </w:rPr>
        <w:t>:</w:t>
      </w:r>
    </w:p>
    <w:p w14:paraId="62DE046E" w14:textId="4DDC2085" w:rsidR="00934DDC" w:rsidRPr="00D912D2" w:rsidRDefault="00934DDC" w:rsidP="007D6B57">
      <w:pPr>
        <w:numPr>
          <w:ilvl w:val="0"/>
          <w:numId w:val="10"/>
        </w:numPr>
        <w:spacing w:before="60" w:line="276" w:lineRule="auto"/>
        <w:ind w:left="714" w:hanging="357"/>
        <w:rPr>
          <w:szCs w:val="20"/>
        </w:rPr>
      </w:pPr>
      <w:proofErr w:type="gramStart"/>
      <w:r w:rsidRPr="00D912D2">
        <w:rPr>
          <w:szCs w:val="20"/>
        </w:rPr>
        <w:t>le</w:t>
      </w:r>
      <w:proofErr w:type="gramEnd"/>
      <w:r w:rsidRPr="00D912D2">
        <w:rPr>
          <w:szCs w:val="20"/>
        </w:rPr>
        <w:t xml:space="preserve"> </w:t>
      </w:r>
      <w:r w:rsidRPr="00D912D2">
        <w:rPr>
          <w:b/>
          <w:szCs w:val="20"/>
        </w:rPr>
        <w:t>numéro</w:t>
      </w:r>
      <w:r w:rsidRPr="00D912D2">
        <w:rPr>
          <w:szCs w:val="20"/>
        </w:rPr>
        <w:t xml:space="preserve"> et l’</w:t>
      </w:r>
      <w:r w:rsidRPr="00D912D2">
        <w:rPr>
          <w:b/>
          <w:szCs w:val="20"/>
        </w:rPr>
        <w:t>acronyme</w:t>
      </w:r>
      <w:r w:rsidRPr="00D912D2">
        <w:rPr>
          <w:szCs w:val="20"/>
        </w:rPr>
        <w:t xml:space="preserve"> de chacun des projets</w:t>
      </w:r>
      <w:r w:rsidR="00F71DFE" w:rsidRPr="00D912D2">
        <w:rPr>
          <w:szCs w:val="20"/>
        </w:rPr>
        <w:t> ;</w:t>
      </w:r>
    </w:p>
    <w:p w14:paraId="01087620" w14:textId="31B0D173" w:rsidR="00934DDC" w:rsidRPr="00D912D2" w:rsidRDefault="00934DDC" w:rsidP="007D6B57">
      <w:pPr>
        <w:numPr>
          <w:ilvl w:val="0"/>
          <w:numId w:val="10"/>
        </w:numPr>
        <w:spacing w:before="60" w:line="276" w:lineRule="auto"/>
        <w:ind w:left="714" w:hanging="357"/>
        <w:rPr>
          <w:szCs w:val="20"/>
        </w:rPr>
      </w:pPr>
      <w:proofErr w:type="gramStart"/>
      <w:r w:rsidRPr="00D912D2">
        <w:rPr>
          <w:szCs w:val="20"/>
        </w:rPr>
        <w:t>les</w:t>
      </w:r>
      <w:proofErr w:type="gramEnd"/>
      <w:r w:rsidRPr="00D912D2">
        <w:rPr>
          <w:szCs w:val="20"/>
        </w:rPr>
        <w:t xml:space="preserve"> nom et prénoms du </w:t>
      </w:r>
      <w:r w:rsidRPr="00D912D2">
        <w:rPr>
          <w:b/>
          <w:szCs w:val="20"/>
        </w:rPr>
        <w:t>porteur</w:t>
      </w:r>
      <w:r w:rsidRPr="00D912D2">
        <w:rPr>
          <w:szCs w:val="20"/>
        </w:rPr>
        <w:t xml:space="preserve"> pour chacun des projets</w:t>
      </w:r>
      <w:r w:rsidR="00F71DFE" w:rsidRPr="00D912D2">
        <w:rPr>
          <w:szCs w:val="20"/>
        </w:rPr>
        <w:t> ;</w:t>
      </w:r>
    </w:p>
    <w:p w14:paraId="5735253F" w14:textId="70F808EB" w:rsidR="00A65A81" w:rsidRDefault="005548CC" w:rsidP="007D6B57">
      <w:pPr>
        <w:numPr>
          <w:ilvl w:val="0"/>
          <w:numId w:val="10"/>
        </w:numPr>
        <w:spacing w:before="60" w:line="276" w:lineRule="auto"/>
        <w:ind w:left="714" w:hanging="357"/>
        <w:rPr>
          <w:szCs w:val="20"/>
        </w:rPr>
      </w:pPr>
      <w:proofErr w:type="gramStart"/>
      <w:r w:rsidRPr="00D912D2">
        <w:rPr>
          <w:szCs w:val="20"/>
        </w:rPr>
        <w:t>la</w:t>
      </w:r>
      <w:proofErr w:type="gramEnd"/>
      <w:r w:rsidRPr="00D912D2">
        <w:rPr>
          <w:szCs w:val="20"/>
        </w:rPr>
        <w:t xml:space="preserve"> </w:t>
      </w:r>
      <w:r w:rsidRPr="00D912D2">
        <w:rPr>
          <w:b/>
          <w:szCs w:val="20"/>
        </w:rPr>
        <w:t>durée</w:t>
      </w:r>
      <w:r w:rsidRPr="00D912D2">
        <w:rPr>
          <w:szCs w:val="20"/>
        </w:rPr>
        <w:t xml:space="preserve"> et le </w:t>
      </w:r>
      <w:r w:rsidRPr="00D912D2">
        <w:rPr>
          <w:b/>
          <w:szCs w:val="20"/>
        </w:rPr>
        <w:t>montant</w:t>
      </w:r>
      <w:r w:rsidRPr="00D912D2">
        <w:rPr>
          <w:szCs w:val="20"/>
        </w:rPr>
        <w:t xml:space="preserve"> </w:t>
      </w:r>
      <w:r w:rsidRPr="00D912D2">
        <w:rPr>
          <w:b/>
          <w:szCs w:val="20"/>
        </w:rPr>
        <w:t>de l’aide régionale</w:t>
      </w:r>
      <w:r w:rsidRPr="00D912D2">
        <w:rPr>
          <w:szCs w:val="20"/>
        </w:rPr>
        <w:t xml:space="preserve"> demandé</w:t>
      </w:r>
      <w:r w:rsidR="00934DDC" w:rsidRPr="00D912D2">
        <w:rPr>
          <w:szCs w:val="20"/>
        </w:rPr>
        <w:t>e pour chacun des projets</w:t>
      </w:r>
      <w:r w:rsidR="00F71DFE" w:rsidRPr="00D912D2">
        <w:rPr>
          <w:szCs w:val="20"/>
        </w:rPr>
        <w:t> ;</w:t>
      </w:r>
    </w:p>
    <w:p w14:paraId="767B05A5" w14:textId="720FBD31" w:rsidR="00365753" w:rsidRPr="00D912D2" w:rsidRDefault="00365753" w:rsidP="007D6B57">
      <w:pPr>
        <w:numPr>
          <w:ilvl w:val="0"/>
          <w:numId w:val="10"/>
        </w:numPr>
        <w:spacing w:before="60" w:line="276" w:lineRule="auto"/>
        <w:ind w:left="714" w:hanging="357"/>
        <w:rPr>
          <w:szCs w:val="20"/>
        </w:rPr>
      </w:pPr>
      <w:proofErr w:type="gramStart"/>
      <w:r>
        <w:rPr>
          <w:szCs w:val="20"/>
        </w:rPr>
        <w:t>l’avis</w:t>
      </w:r>
      <w:proofErr w:type="gramEnd"/>
      <w:r>
        <w:rPr>
          <w:szCs w:val="20"/>
        </w:rPr>
        <w:t xml:space="preserve"> rendu par le conseil scientifique</w:t>
      </w:r>
      <w:r w:rsidR="00135B98">
        <w:rPr>
          <w:szCs w:val="20"/>
        </w:rPr>
        <w:t xml:space="preserve"> de l’établissement</w:t>
      </w:r>
      <w:r>
        <w:rPr>
          <w:szCs w:val="20"/>
        </w:rPr>
        <w:t>.</w:t>
      </w:r>
    </w:p>
    <w:p w14:paraId="689C58D0" w14:textId="39A4792B" w:rsidR="005C752D" w:rsidRPr="00D912D2" w:rsidRDefault="00086BF5" w:rsidP="005C752D">
      <w:pPr>
        <w:spacing w:before="120" w:line="240" w:lineRule="auto"/>
        <w:rPr>
          <w:rFonts w:cs="Times New Roman"/>
          <w:b/>
          <w:i/>
          <w:color w:val="000000"/>
          <w:szCs w:val="20"/>
          <w:u w:val="single"/>
          <w:lang w:eastAsia="fr-FR"/>
        </w:rPr>
      </w:pPr>
      <w:r w:rsidRPr="00D912D2">
        <w:rPr>
          <w:b/>
          <w:i/>
          <w:iCs/>
          <w:szCs w:val="20"/>
          <w:u w:val="single"/>
        </w:rPr>
        <w:t>É</w:t>
      </w:r>
      <w:r w:rsidR="005C752D" w:rsidRPr="00D912D2">
        <w:rPr>
          <w:rFonts w:cs="Times New Roman"/>
          <w:b/>
          <w:i/>
          <w:color w:val="000000"/>
          <w:szCs w:val="20"/>
          <w:u w:val="single"/>
          <w:lang w:eastAsia="fr-FR"/>
        </w:rPr>
        <w:t xml:space="preserve">tape 3 </w:t>
      </w:r>
      <w:r w:rsidR="001B392D" w:rsidRPr="00D912D2">
        <w:rPr>
          <w:rFonts w:cs="Times New Roman"/>
          <w:b/>
          <w:i/>
          <w:color w:val="000000"/>
          <w:szCs w:val="20"/>
          <w:u w:val="single"/>
          <w:lang w:eastAsia="fr-FR"/>
        </w:rPr>
        <w:t>–</w:t>
      </w:r>
      <w:r w:rsidR="005C752D" w:rsidRPr="00D912D2">
        <w:rPr>
          <w:rFonts w:cs="Times New Roman"/>
          <w:b/>
          <w:i/>
          <w:color w:val="000000"/>
          <w:szCs w:val="20"/>
          <w:u w:val="single"/>
          <w:lang w:eastAsia="fr-FR"/>
        </w:rPr>
        <w:t xml:space="preserve"> </w:t>
      </w:r>
      <w:r w:rsidR="002C324E" w:rsidRPr="00D912D2">
        <w:rPr>
          <w:b/>
          <w:i/>
          <w:iCs/>
          <w:szCs w:val="20"/>
          <w:u w:val="single"/>
        </w:rPr>
        <w:t>É</w:t>
      </w:r>
      <w:r w:rsidR="001B392D" w:rsidRPr="00D912D2">
        <w:rPr>
          <w:rFonts w:cs="Times New Roman"/>
          <w:b/>
          <w:i/>
          <w:color w:val="000000"/>
          <w:szCs w:val="20"/>
          <w:u w:val="single"/>
          <w:lang w:eastAsia="fr-FR"/>
        </w:rPr>
        <w:t xml:space="preserve">valuation des projets par l’Agence Nationale de la Recherche </w:t>
      </w:r>
      <w:r w:rsidR="00EE491D">
        <w:rPr>
          <w:rFonts w:cs="Times New Roman"/>
          <w:b/>
          <w:i/>
          <w:color w:val="000000"/>
          <w:szCs w:val="20"/>
          <w:u w:val="single"/>
          <w:lang w:eastAsia="fr-FR"/>
        </w:rPr>
        <w:t>(ANR)</w:t>
      </w:r>
    </w:p>
    <w:p w14:paraId="09E9B0AB" w14:textId="4CFED341" w:rsidR="001B392D" w:rsidRPr="00EF6828" w:rsidRDefault="005548CC" w:rsidP="00EF6828">
      <w:pPr>
        <w:spacing w:before="113" w:line="276" w:lineRule="auto"/>
        <w:rPr>
          <w:rFonts w:cs="Arial"/>
          <w:szCs w:val="20"/>
        </w:rPr>
      </w:pPr>
      <w:r w:rsidRPr="00D912D2">
        <w:rPr>
          <w:szCs w:val="20"/>
        </w:rPr>
        <w:t>Chaque demande d’aid</w:t>
      </w:r>
      <w:r w:rsidR="00F63A31" w:rsidRPr="00D912D2">
        <w:rPr>
          <w:szCs w:val="20"/>
        </w:rPr>
        <w:t xml:space="preserve">e </w:t>
      </w:r>
      <w:r w:rsidR="001B392D" w:rsidRPr="00D912D2">
        <w:rPr>
          <w:szCs w:val="20"/>
        </w:rPr>
        <w:t xml:space="preserve">ayant reçu un avis favorable de la part de l’établissement porteur sera évaluée par l’ANR sur la base du processus d’évaluation des projets relevant des </w:t>
      </w:r>
      <w:r w:rsidR="00EE491D">
        <w:rPr>
          <w:szCs w:val="20"/>
        </w:rPr>
        <w:t>appels à projets</w:t>
      </w:r>
      <w:r w:rsidR="00EE491D" w:rsidRPr="00D912D2">
        <w:rPr>
          <w:szCs w:val="20"/>
        </w:rPr>
        <w:t xml:space="preserve"> </w:t>
      </w:r>
      <w:r w:rsidR="00EE491D">
        <w:rPr>
          <w:szCs w:val="20"/>
        </w:rPr>
        <w:t>r</w:t>
      </w:r>
      <w:r w:rsidR="001B392D" w:rsidRPr="00D912D2">
        <w:rPr>
          <w:szCs w:val="20"/>
        </w:rPr>
        <w:t>égionaux</w:t>
      </w:r>
      <w:r w:rsidR="00FE6213">
        <w:rPr>
          <w:szCs w:val="20"/>
        </w:rPr>
        <w:t xml:space="preserve"> tel que décrit ci-après :</w:t>
      </w:r>
      <w:r w:rsidR="00EE491D">
        <w:rPr>
          <w:szCs w:val="20"/>
        </w:rPr>
        <w:t xml:space="preserve"> </w:t>
      </w:r>
      <w:r w:rsidR="00FE6213">
        <w:rPr>
          <w:rFonts w:cs="Arial"/>
          <w:szCs w:val="20"/>
        </w:rPr>
        <w:t>l</w:t>
      </w:r>
      <w:r w:rsidR="001B392D" w:rsidRPr="00EF6828">
        <w:rPr>
          <w:rFonts w:cs="Arial"/>
          <w:szCs w:val="20"/>
        </w:rPr>
        <w:t>e dossier déposé ne doit pas être semblable (dans sa globalité ou en partie) à un autre déposé à un appel ou un programme en cours d’évaluation à la Région ou à un dossier ayant donné lieu à un financement par la Région et/ou l’ANR.</w:t>
      </w:r>
      <w:r w:rsidR="001B392D" w:rsidRPr="00EF6828">
        <w:rPr>
          <w:rFonts w:cs="Arial"/>
          <w:szCs w:val="20"/>
          <w:vertAlign w:val="superscript"/>
        </w:rPr>
        <w:footnoteReference w:id="8"/>
      </w:r>
    </w:p>
    <w:p w14:paraId="220688F9" w14:textId="04125FE1" w:rsidR="001B392D" w:rsidRPr="00EF6828" w:rsidRDefault="001B392D" w:rsidP="001B392D">
      <w:pPr>
        <w:rPr>
          <w:rFonts w:cs="Arial"/>
          <w:spacing w:val="-2"/>
          <w:szCs w:val="20"/>
        </w:rPr>
      </w:pPr>
      <w:r w:rsidRPr="00EF6828">
        <w:rPr>
          <w:rFonts w:cs="Arial"/>
          <w:spacing w:val="-2"/>
          <w:szCs w:val="20"/>
        </w:rPr>
        <w:t>L’évaluation scientifique des projets est opérée par l’ANR et basée sur le principe d’évaluation par les pairs. Elle mobilise des experts et expert</w:t>
      </w:r>
      <w:r w:rsidR="00CA12DD" w:rsidRPr="00EF6828">
        <w:rPr>
          <w:rFonts w:cs="Arial"/>
          <w:spacing w:val="-2"/>
          <w:szCs w:val="20"/>
        </w:rPr>
        <w:t>e</w:t>
      </w:r>
      <w:r w:rsidRPr="00EF6828">
        <w:rPr>
          <w:rFonts w:cs="Arial"/>
          <w:spacing w:val="-2"/>
          <w:szCs w:val="20"/>
        </w:rPr>
        <w:t xml:space="preserve">s extérieurs à l’ANR proposés par des présidents et présidentes, des membres de comités scientifiques de l’appel à projets générique, les </w:t>
      </w:r>
      <w:r w:rsidR="00EE491D">
        <w:rPr>
          <w:rFonts w:cs="Arial"/>
          <w:spacing w:val="-2"/>
          <w:szCs w:val="20"/>
        </w:rPr>
        <w:t>r</w:t>
      </w:r>
      <w:r w:rsidR="00EE491D" w:rsidRPr="00EF6828">
        <w:rPr>
          <w:rFonts w:cs="Arial"/>
          <w:spacing w:val="-2"/>
          <w:szCs w:val="20"/>
        </w:rPr>
        <w:t xml:space="preserve">esponsables </w:t>
      </w:r>
      <w:r w:rsidRPr="00EF6828">
        <w:rPr>
          <w:rFonts w:cs="Arial"/>
          <w:spacing w:val="-2"/>
          <w:szCs w:val="20"/>
        </w:rPr>
        <w:t xml:space="preserve">de </w:t>
      </w:r>
      <w:r w:rsidR="00EE491D">
        <w:rPr>
          <w:rFonts w:cs="Arial"/>
          <w:spacing w:val="-2"/>
          <w:szCs w:val="20"/>
        </w:rPr>
        <w:t>d</w:t>
      </w:r>
      <w:r w:rsidR="00EE491D" w:rsidRPr="00EF6828">
        <w:rPr>
          <w:rFonts w:cs="Arial"/>
          <w:spacing w:val="-2"/>
          <w:szCs w:val="20"/>
        </w:rPr>
        <w:t xml:space="preserve">épartement </w:t>
      </w:r>
      <w:r w:rsidRPr="00EF6828">
        <w:rPr>
          <w:rFonts w:cs="Arial"/>
          <w:spacing w:val="-2"/>
          <w:szCs w:val="20"/>
        </w:rPr>
        <w:t xml:space="preserve">des 5 départements scientifiques ou par les </w:t>
      </w:r>
      <w:r w:rsidR="00EE491D">
        <w:rPr>
          <w:rFonts w:cs="Arial"/>
          <w:spacing w:val="-2"/>
          <w:szCs w:val="20"/>
        </w:rPr>
        <w:t>r</w:t>
      </w:r>
      <w:r w:rsidR="00EE491D" w:rsidRPr="00EF6828">
        <w:rPr>
          <w:rFonts w:cs="Arial"/>
          <w:spacing w:val="-2"/>
          <w:szCs w:val="20"/>
        </w:rPr>
        <w:t xml:space="preserve">esponsables </w:t>
      </w:r>
      <w:r w:rsidR="00EE491D">
        <w:rPr>
          <w:rFonts w:cs="Arial"/>
          <w:spacing w:val="-2"/>
          <w:szCs w:val="20"/>
        </w:rPr>
        <w:t>s</w:t>
      </w:r>
      <w:r w:rsidR="00EE491D" w:rsidRPr="00EF6828">
        <w:rPr>
          <w:rFonts w:cs="Arial"/>
          <w:spacing w:val="-2"/>
          <w:szCs w:val="20"/>
        </w:rPr>
        <w:t xml:space="preserve">cientifiques </w:t>
      </w:r>
      <w:r w:rsidRPr="00EF6828">
        <w:rPr>
          <w:rFonts w:cs="Arial"/>
          <w:spacing w:val="-2"/>
          <w:szCs w:val="20"/>
        </w:rPr>
        <w:t>de l’ANR pour leur expertise scientifique en lien avec les projets à évaluer.</w:t>
      </w:r>
      <w:r w:rsidRPr="00EF6828">
        <w:rPr>
          <w:rFonts w:cs="Arial"/>
          <w:spacing w:val="-2"/>
          <w:szCs w:val="20"/>
          <w:vertAlign w:val="superscript"/>
        </w:rPr>
        <w:footnoteReference w:id="9"/>
      </w:r>
    </w:p>
    <w:p w14:paraId="07BB80FF" w14:textId="0CA34A1F" w:rsidR="00D912D2" w:rsidRDefault="00D912D2" w:rsidP="001B392D">
      <w:pPr>
        <w:rPr>
          <w:szCs w:val="20"/>
        </w:rPr>
      </w:pPr>
      <w:r w:rsidRPr="000E0E61">
        <w:rPr>
          <w:szCs w:val="20"/>
        </w:rPr>
        <w:t xml:space="preserve">Chaque projet éligible sera soumis </w:t>
      </w:r>
      <w:r w:rsidR="00365753" w:rsidRPr="00EE491D">
        <w:rPr>
          <w:szCs w:val="20"/>
        </w:rPr>
        <w:t>a</w:t>
      </w:r>
      <w:r w:rsidRPr="00EE491D">
        <w:rPr>
          <w:szCs w:val="20"/>
        </w:rPr>
        <w:t xml:space="preserve"> minima</w:t>
      </w:r>
      <w:r w:rsidRPr="000E0E61">
        <w:rPr>
          <w:szCs w:val="20"/>
        </w:rPr>
        <w:t xml:space="preserve"> à l’expertise de deux </w:t>
      </w:r>
      <w:proofErr w:type="spellStart"/>
      <w:r w:rsidRPr="000E0E61">
        <w:rPr>
          <w:szCs w:val="20"/>
        </w:rPr>
        <w:t>expert.</w:t>
      </w:r>
      <w:proofErr w:type="gramStart"/>
      <w:r w:rsidRPr="000E0E61">
        <w:rPr>
          <w:szCs w:val="20"/>
        </w:rPr>
        <w:t>e.s</w:t>
      </w:r>
      <w:proofErr w:type="spellEnd"/>
      <w:proofErr w:type="gramEnd"/>
      <w:r w:rsidRPr="000E0E61">
        <w:rPr>
          <w:szCs w:val="20"/>
        </w:rPr>
        <w:t xml:space="preserve"> </w:t>
      </w:r>
      <w:proofErr w:type="spellStart"/>
      <w:r w:rsidRPr="000E0E61">
        <w:rPr>
          <w:szCs w:val="20"/>
        </w:rPr>
        <w:t>extérieur.e.s</w:t>
      </w:r>
      <w:proofErr w:type="spellEnd"/>
      <w:r w:rsidR="002F07C1">
        <w:rPr>
          <w:szCs w:val="20"/>
        </w:rPr>
        <w:t xml:space="preserve"> et au maximum </w:t>
      </w:r>
      <w:r w:rsidR="00EE491D">
        <w:rPr>
          <w:szCs w:val="20"/>
        </w:rPr>
        <w:t xml:space="preserve">à </w:t>
      </w:r>
      <w:r w:rsidR="00B40043">
        <w:rPr>
          <w:szCs w:val="20"/>
        </w:rPr>
        <w:t>celle</w:t>
      </w:r>
      <w:r w:rsidR="00EE491D">
        <w:rPr>
          <w:szCs w:val="20"/>
        </w:rPr>
        <w:t xml:space="preserve"> de </w:t>
      </w:r>
      <w:r w:rsidR="002F07C1">
        <w:rPr>
          <w:szCs w:val="20"/>
        </w:rPr>
        <w:t xml:space="preserve">trois </w:t>
      </w:r>
      <w:proofErr w:type="spellStart"/>
      <w:r w:rsidR="002F07C1">
        <w:rPr>
          <w:szCs w:val="20"/>
        </w:rPr>
        <w:t>expert.e.s</w:t>
      </w:r>
      <w:proofErr w:type="spellEnd"/>
      <w:r w:rsidR="002F07C1">
        <w:rPr>
          <w:szCs w:val="20"/>
        </w:rPr>
        <w:t xml:space="preserve"> pour les projets à fort caractère pluridisciplinaire </w:t>
      </w:r>
      <w:r w:rsidRPr="000E0E61">
        <w:rPr>
          <w:szCs w:val="20"/>
        </w:rPr>
        <w:t xml:space="preserve">. </w:t>
      </w:r>
    </w:p>
    <w:p w14:paraId="45774BC9" w14:textId="77777777" w:rsidR="000E0E61" w:rsidRPr="00EF6828" w:rsidRDefault="000E0E61" w:rsidP="001B392D">
      <w:pPr>
        <w:rPr>
          <w:rFonts w:cs="Arial"/>
          <w:spacing w:val="-2"/>
          <w:szCs w:val="20"/>
        </w:rPr>
      </w:pPr>
    </w:p>
    <w:p w14:paraId="6FC17752" w14:textId="264E2618" w:rsidR="001B392D" w:rsidRPr="00EF6828" w:rsidRDefault="001B392D" w:rsidP="001B392D">
      <w:pPr>
        <w:rPr>
          <w:rFonts w:cs="Arial"/>
          <w:szCs w:val="20"/>
        </w:rPr>
      </w:pPr>
      <w:r w:rsidRPr="00EF6828">
        <w:rPr>
          <w:rFonts w:cs="Arial"/>
          <w:szCs w:val="20"/>
        </w:rPr>
        <w:t xml:space="preserve">Chaque projet sera évalué sur la base </w:t>
      </w:r>
      <w:r w:rsidRPr="00EF6828">
        <w:rPr>
          <w:rFonts w:cs="Arial"/>
          <w:b/>
          <w:bCs/>
          <w:szCs w:val="20"/>
        </w:rPr>
        <w:t>uniquement</w:t>
      </w:r>
      <w:r w:rsidRPr="00EF6828">
        <w:rPr>
          <w:rFonts w:cs="Arial"/>
          <w:szCs w:val="20"/>
        </w:rPr>
        <w:t xml:space="preserve"> des critères suivants :  </w:t>
      </w:r>
    </w:p>
    <w:p w14:paraId="39BD0B9D" w14:textId="77777777" w:rsidR="001B392D" w:rsidRPr="00EF6828" w:rsidRDefault="001B392D" w:rsidP="001B392D">
      <w:pPr>
        <w:rPr>
          <w:rFonts w:cs="Arial"/>
          <w:szCs w:val="20"/>
        </w:rPr>
      </w:pPr>
    </w:p>
    <w:p w14:paraId="6C0B6DD6" w14:textId="5A695CFB" w:rsidR="001B392D" w:rsidRDefault="001B392D" w:rsidP="001B392D">
      <w:pPr>
        <w:numPr>
          <w:ilvl w:val="0"/>
          <w:numId w:val="25"/>
        </w:numPr>
        <w:spacing w:after="120" w:line="240" w:lineRule="auto"/>
        <w:rPr>
          <w:rFonts w:cs="Arial"/>
          <w:szCs w:val="20"/>
        </w:rPr>
      </w:pPr>
      <w:r w:rsidRPr="00EF6828">
        <w:rPr>
          <w:rFonts w:cs="Arial"/>
          <w:szCs w:val="20"/>
        </w:rPr>
        <w:t>Cohérence du projet vis-à-vis des objectifs de l’appel à projets</w:t>
      </w:r>
      <w:r w:rsidR="00EF6828">
        <w:rPr>
          <w:rFonts w:cs="Arial"/>
          <w:szCs w:val="20"/>
        </w:rPr>
        <w:t> ;</w:t>
      </w:r>
    </w:p>
    <w:p w14:paraId="5C3C12E5" w14:textId="1F1AAA3D" w:rsidR="009F0271" w:rsidRPr="00EF6828" w:rsidRDefault="009F0271" w:rsidP="001B392D">
      <w:pPr>
        <w:numPr>
          <w:ilvl w:val="0"/>
          <w:numId w:val="25"/>
        </w:numPr>
        <w:spacing w:after="120" w:line="240" w:lineRule="auto"/>
        <w:rPr>
          <w:rFonts w:cs="Arial"/>
          <w:szCs w:val="20"/>
        </w:rPr>
      </w:pPr>
      <w:r w:rsidRPr="00EF6828">
        <w:rPr>
          <w:rFonts w:cs="Arial"/>
          <w:szCs w:val="20"/>
        </w:rPr>
        <w:t>Qualité de la candidature du porteur de projet et de l’équipe environnante</w:t>
      </w:r>
      <w:r>
        <w:rPr>
          <w:rFonts w:cs="Arial"/>
          <w:szCs w:val="20"/>
        </w:rPr>
        <w:t> ;</w:t>
      </w:r>
    </w:p>
    <w:p w14:paraId="0D819E0F" w14:textId="315B71F3" w:rsidR="001B392D" w:rsidRPr="00EF6828" w:rsidRDefault="001B392D" w:rsidP="001B392D">
      <w:pPr>
        <w:numPr>
          <w:ilvl w:val="0"/>
          <w:numId w:val="25"/>
        </w:numPr>
        <w:spacing w:after="120" w:line="240" w:lineRule="auto"/>
        <w:rPr>
          <w:rFonts w:cs="Arial"/>
          <w:szCs w:val="20"/>
        </w:rPr>
      </w:pPr>
      <w:r w:rsidRPr="00EF6828">
        <w:rPr>
          <w:rFonts w:cs="Arial"/>
          <w:szCs w:val="20"/>
        </w:rPr>
        <w:t>Qualité scientifique des objectifs du projet et de sa méthodologie au regard des objectifs ciblés par l’appel à projets et positionnement par rapport à l’état de l’art</w:t>
      </w:r>
      <w:r w:rsidR="002F07C1">
        <w:rPr>
          <w:rFonts w:cs="Arial"/>
          <w:szCs w:val="20"/>
        </w:rPr>
        <w:t> ;</w:t>
      </w:r>
    </w:p>
    <w:p w14:paraId="40996DE8" w14:textId="3C89CF78" w:rsidR="001B392D" w:rsidRPr="00EF6828" w:rsidRDefault="001B392D" w:rsidP="001B392D">
      <w:pPr>
        <w:numPr>
          <w:ilvl w:val="0"/>
          <w:numId w:val="25"/>
        </w:numPr>
        <w:spacing w:after="120" w:line="240" w:lineRule="auto"/>
        <w:rPr>
          <w:rFonts w:cs="Arial"/>
          <w:szCs w:val="20"/>
        </w:rPr>
      </w:pPr>
      <w:r w:rsidRPr="00EF6828">
        <w:rPr>
          <w:rFonts w:cs="Arial"/>
          <w:szCs w:val="20"/>
        </w:rPr>
        <w:t>Caractère novateur des idées scientifiques, originalité du projet</w:t>
      </w:r>
      <w:r w:rsidR="002F07C1">
        <w:rPr>
          <w:rFonts w:cs="Arial"/>
          <w:szCs w:val="20"/>
        </w:rPr>
        <w:t> ;</w:t>
      </w:r>
    </w:p>
    <w:p w14:paraId="5BB92957" w14:textId="787E43CB" w:rsidR="001B392D" w:rsidRPr="00EF6828" w:rsidRDefault="001B392D" w:rsidP="001B392D">
      <w:pPr>
        <w:numPr>
          <w:ilvl w:val="0"/>
          <w:numId w:val="25"/>
        </w:numPr>
        <w:spacing w:after="120" w:line="240" w:lineRule="auto"/>
        <w:rPr>
          <w:rFonts w:cs="Arial"/>
          <w:szCs w:val="20"/>
        </w:rPr>
      </w:pPr>
      <w:r w:rsidRPr="00EF6828">
        <w:rPr>
          <w:rFonts w:cs="Arial"/>
          <w:szCs w:val="20"/>
        </w:rPr>
        <w:t>Faisabilité globale du projet : réalisme du planning</w:t>
      </w:r>
      <w:r w:rsidR="002F07C1">
        <w:rPr>
          <w:rFonts w:cs="Arial"/>
          <w:szCs w:val="20"/>
        </w:rPr>
        <w:t>,</w:t>
      </w:r>
      <w:r w:rsidRPr="00EF6828">
        <w:rPr>
          <w:rFonts w:cs="Arial"/>
          <w:szCs w:val="20"/>
        </w:rPr>
        <w:t xml:space="preserve"> prise en compte des verrous scientifiques, qualité et compétence des responsables scientifiques et des équipes au regard des thématiques visées…</w:t>
      </w:r>
      <w:r w:rsidR="00615370">
        <w:rPr>
          <w:rFonts w:cs="Arial"/>
          <w:szCs w:val="20"/>
        </w:rPr>
        <w:t> ;</w:t>
      </w:r>
    </w:p>
    <w:p w14:paraId="614D95F4" w14:textId="4023F2B5" w:rsidR="002A0FCE" w:rsidRPr="008C3FBE" w:rsidRDefault="002A0FCE" w:rsidP="00EF6828">
      <w:pPr>
        <w:numPr>
          <w:ilvl w:val="0"/>
          <w:numId w:val="25"/>
        </w:numPr>
        <w:spacing w:after="120" w:line="240" w:lineRule="auto"/>
        <w:jc w:val="left"/>
        <w:rPr>
          <w:rFonts w:cs="Arial"/>
          <w:szCs w:val="20"/>
        </w:rPr>
      </w:pPr>
      <w:r w:rsidRPr="00EF6828">
        <w:rPr>
          <w:szCs w:val="20"/>
        </w:rPr>
        <w:t>Impact scientifique et impact potentiel dans les domaines économique, social ou culturel</w:t>
      </w:r>
      <w:r>
        <w:rPr>
          <w:szCs w:val="20"/>
        </w:rPr>
        <w:t xml:space="preserve"> : </w:t>
      </w:r>
      <w:r w:rsidR="008C3FBE" w:rsidRPr="008C3FBE">
        <w:rPr>
          <w:szCs w:val="20"/>
        </w:rPr>
        <w:t>Action de transfert</w:t>
      </w:r>
      <w:r w:rsidR="008C3FBE" w:rsidRPr="008C3FBE">
        <w:rPr>
          <w:szCs w:val="20"/>
        </w:rPr>
        <w:br/>
        <w:t>de technologie et</w:t>
      </w:r>
      <w:r w:rsidR="00EF6828">
        <w:rPr>
          <w:szCs w:val="20"/>
        </w:rPr>
        <w:t xml:space="preserve"> </w:t>
      </w:r>
      <w:r w:rsidR="008C3FBE" w:rsidRPr="008C3FBE">
        <w:rPr>
          <w:szCs w:val="20"/>
        </w:rPr>
        <w:t>d’innovation vis-à-vis</w:t>
      </w:r>
      <w:r w:rsidR="00EF6828">
        <w:rPr>
          <w:szCs w:val="20"/>
        </w:rPr>
        <w:t xml:space="preserve"> </w:t>
      </w:r>
      <w:r w:rsidR="008C3FBE" w:rsidRPr="008C3FBE">
        <w:rPr>
          <w:szCs w:val="20"/>
        </w:rPr>
        <w:t>du monde socio-économique ;</w:t>
      </w:r>
      <w:r w:rsidR="00A93CAE">
        <w:rPr>
          <w:szCs w:val="20"/>
        </w:rPr>
        <w:t xml:space="preserve"> </w:t>
      </w:r>
      <w:r w:rsidR="008C3FBE" w:rsidRPr="008C3FBE">
        <w:rPr>
          <w:szCs w:val="20"/>
        </w:rPr>
        <w:t>promotion de la</w:t>
      </w:r>
      <w:r w:rsidR="00EF6828">
        <w:rPr>
          <w:szCs w:val="20"/>
        </w:rPr>
        <w:t xml:space="preserve"> </w:t>
      </w:r>
      <w:r w:rsidR="008C3FBE" w:rsidRPr="008C3FBE">
        <w:rPr>
          <w:szCs w:val="20"/>
        </w:rPr>
        <w:t>culture scientifique,</w:t>
      </w:r>
      <w:r w:rsidR="008C3FBE" w:rsidRPr="008C3FBE">
        <w:rPr>
          <w:szCs w:val="20"/>
        </w:rPr>
        <w:br/>
        <w:t>technique et</w:t>
      </w:r>
      <w:r w:rsidR="00EF6828">
        <w:rPr>
          <w:szCs w:val="20"/>
        </w:rPr>
        <w:t xml:space="preserve"> </w:t>
      </w:r>
      <w:r w:rsidR="008C3FBE" w:rsidRPr="008C3FBE">
        <w:rPr>
          <w:szCs w:val="20"/>
        </w:rPr>
        <w:t>industrielle</w:t>
      </w:r>
      <w:r w:rsidR="002F07C1">
        <w:rPr>
          <w:szCs w:val="20"/>
        </w:rPr>
        <w:t> ;</w:t>
      </w:r>
    </w:p>
    <w:p w14:paraId="360760A3" w14:textId="57A3B502" w:rsidR="008C3FBE" w:rsidRPr="00EF6828" w:rsidRDefault="008C3FBE" w:rsidP="00EF6828">
      <w:pPr>
        <w:numPr>
          <w:ilvl w:val="0"/>
          <w:numId w:val="25"/>
        </w:numPr>
        <w:spacing w:after="120" w:line="240" w:lineRule="auto"/>
        <w:rPr>
          <w:rFonts w:cs="Arial"/>
          <w:szCs w:val="20"/>
        </w:rPr>
      </w:pPr>
      <w:r w:rsidRPr="008C3FBE">
        <w:rPr>
          <w:rFonts w:cs="Arial"/>
          <w:szCs w:val="20"/>
        </w:rPr>
        <w:t>Stratégie de diffusion et de valorisation des résultats ; promotion</w:t>
      </w:r>
      <w:r>
        <w:rPr>
          <w:rFonts w:cs="Arial"/>
          <w:szCs w:val="20"/>
        </w:rPr>
        <w:t xml:space="preserve"> </w:t>
      </w:r>
      <w:r w:rsidRPr="008C3FBE">
        <w:rPr>
          <w:rFonts w:cs="Arial"/>
          <w:szCs w:val="20"/>
        </w:rPr>
        <w:t>de la culture scientifique, technique et industrielle</w:t>
      </w:r>
      <w:r>
        <w:rPr>
          <w:rFonts w:cs="Arial"/>
          <w:szCs w:val="20"/>
        </w:rPr>
        <w:t>.</w:t>
      </w:r>
    </w:p>
    <w:p w14:paraId="1DC37CDE" w14:textId="11E35CD3" w:rsidR="000E0E61" w:rsidRDefault="000E0E61" w:rsidP="00756E1C">
      <w:pPr>
        <w:spacing w:before="113" w:line="276" w:lineRule="auto"/>
        <w:rPr>
          <w:szCs w:val="20"/>
        </w:rPr>
      </w:pPr>
      <w:r w:rsidRPr="000E0E61">
        <w:rPr>
          <w:szCs w:val="20"/>
        </w:rPr>
        <w:t xml:space="preserve">Après évaluation des projets éligibles par des experts scientifiques, les projets sont examinés par un Comité de Pilotage ANR, composé de rapporteurs et </w:t>
      </w:r>
      <w:proofErr w:type="spellStart"/>
      <w:r w:rsidRPr="000E0E61">
        <w:rPr>
          <w:szCs w:val="20"/>
        </w:rPr>
        <w:t>rapportrices</w:t>
      </w:r>
      <w:proofErr w:type="spellEnd"/>
      <w:r w:rsidRPr="000E0E61">
        <w:rPr>
          <w:szCs w:val="20"/>
        </w:rPr>
        <w:t xml:space="preserve"> issus de l’ANR, qui formalisera un avis scientifique final sur la base des expertises que chaque projet éligible aura reçu.</w:t>
      </w:r>
      <w:r>
        <w:rPr>
          <w:szCs w:val="20"/>
        </w:rPr>
        <w:t xml:space="preserve"> </w:t>
      </w:r>
    </w:p>
    <w:p w14:paraId="14376F21" w14:textId="368F423A" w:rsidR="000E0E61" w:rsidRDefault="000E0E61" w:rsidP="00756E1C">
      <w:pPr>
        <w:spacing w:before="113" w:line="276" w:lineRule="auto"/>
        <w:rPr>
          <w:szCs w:val="20"/>
        </w:rPr>
      </w:pPr>
      <w:r>
        <w:rPr>
          <w:szCs w:val="20"/>
        </w:rPr>
        <w:lastRenderedPageBreak/>
        <w:t>L’avis scientifique rédigé sur la base des expertises, toutes les expertises que les projets auront reçues, et une liste avec les notes relatives</w:t>
      </w:r>
      <w:r w:rsidR="002A0FCE">
        <w:rPr>
          <w:rStyle w:val="Appelnotedebasdep"/>
          <w:szCs w:val="20"/>
        </w:rPr>
        <w:footnoteReference w:id="10"/>
      </w:r>
      <w:r>
        <w:rPr>
          <w:szCs w:val="20"/>
        </w:rPr>
        <w:t xml:space="preserve">,  seront transmis à la Région. </w:t>
      </w:r>
    </w:p>
    <w:p w14:paraId="67CFE539" w14:textId="3FACA18D" w:rsidR="00E47101" w:rsidRPr="00A93CAE" w:rsidRDefault="00CC048A" w:rsidP="00E47101">
      <w:pPr>
        <w:spacing w:before="120" w:after="240" w:line="240" w:lineRule="auto"/>
        <w:rPr>
          <w:rFonts w:cs="Times New Roman"/>
          <w:b/>
          <w:i/>
          <w:color w:val="000000"/>
          <w:szCs w:val="20"/>
          <w:u w:val="single"/>
          <w:lang w:eastAsia="fr-FR"/>
        </w:rPr>
      </w:pPr>
      <w:r w:rsidRPr="00CA12DD">
        <w:rPr>
          <w:b/>
          <w:i/>
          <w:iCs/>
          <w:szCs w:val="20"/>
          <w:u w:val="single"/>
        </w:rPr>
        <w:t>É</w:t>
      </w:r>
      <w:r w:rsidR="00E47101" w:rsidRPr="00A93CAE">
        <w:rPr>
          <w:rFonts w:cs="Times New Roman"/>
          <w:b/>
          <w:i/>
          <w:color w:val="000000"/>
          <w:szCs w:val="20"/>
          <w:u w:val="single"/>
          <w:lang w:eastAsia="fr-FR"/>
        </w:rPr>
        <w:t xml:space="preserve">tape 4 - Instruction des dossiers par la Région </w:t>
      </w:r>
    </w:p>
    <w:p w14:paraId="28B3FEFB" w14:textId="4D11A9ED" w:rsidR="00A020A2" w:rsidRPr="00D912D2" w:rsidRDefault="00E47101" w:rsidP="00756E1C">
      <w:pPr>
        <w:spacing w:before="113" w:line="276" w:lineRule="auto"/>
        <w:rPr>
          <w:szCs w:val="20"/>
        </w:rPr>
      </w:pPr>
      <w:r w:rsidRPr="00A93CAE">
        <w:rPr>
          <w:szCs w:val="20"/>
        </w:rPr>
        <w:t>Pour établir le classement final, une note sera attribuée par la Région. Celle-ci tiendra compte</w:t>
      </w:r>
      <w:r w:rsidR="00E738B2" w:rsidRPr="00A93CAE">
        <w:rPr>
          <w:szCs w:val="20"/>
        </w:rPr>
        <w:t xml:space="preserve"> à la fois de l’évaluation scientifique rendue par l’ANR et de l’instruction du dossier faite par la Région.  </w:t>
      </w:r>
      <w:r w:rsidRPr="00A93CAE">
        <w:rPr>
          <w:szCs w:val="20"/>
        </w:rPr>
        <w:t xml:space="preserve"> </w:t>
      </w:r>
    </w:p>
    <w:p w14:paraId="0925CA01" w14:textId="2B82CFA6" w:rsidR="00166979" w:rsidRPr="00D912D2" w:rsidRDefault="00166979" w:rsidP="00166979">
      <w:pPr>
        <w:spacing w:before="113" w:line="276" w:lineRule="auto"/>
        <w:rPr>
          <w:szCs w:val="20"/>
        </w:rPr>
      </w:pPr>
      <w:r w:rsidRPr="00D912D2">
        <w:rPr>
          <w:szCs w:val="20"/>
        </w:rPr>
        <w:t xml:space="preserve">Les </w:t>
      </w:r>
      <w:r w:rsidRPr="00D912D2">
        <w:rPr>
          <w:b/>
          <w:szCs w:val="20"/>
        </w:rPr>
        <w:t>critères d’évaluation</w:t>
      </w:r>
      <w:r w:rsidRPr="00D912D2">
        <w:rPr>
          <w:szCs w:val="20"/>
        </w:rPr>
        <w:t xml:space="preserve"> pris en compte par la Région sont :</w:t>
      </w:r>
    </w:p>
    <w:p w14:paraId="24315DE1" w14:textId="7799D046" w:rsidR="00166979" w:rsidRPr="00D912D2" w:rsidRDefault="00B40043" w:rsidP="00166979">
      <w:pPr>
        <w:numPr>
          <w:ilvl w:val="0"/>
          <w:numId w:val="10"/>
        </w:numPr>
        <w:spacing w:before="60" w:line="276" w:lineRule="auto"/>
        <w:ind w:left="714" w:hanging="357"/>
        <w:rPr>
          <w:szCs w:val="20"/>
        </w:rPr>
      </w:pPr>
      <w:proofErr w:type="gramStart"/>
      <w:r>
        <w:rPr>
          <w:szCs w:val="20"/>
        </w:rPr>
        <w:t>l’inscription</w:t>
      </w:r>
      <w:proofErr w:type="gramEnd"/>
      <w:r>
        <w:rPr>
          <w:szCs w:val="20"/>
        </w:rPr>
        <w:t xml:space="preserve"> du projet dans l’un des 5 domaines d’innovation stratégique </w:t>
      </w:r>
      <w:r w:rsidR="00AB4346">
        <w:rPr>
          <w:szCs w:val="20"/>
        </w:rPr>
        <w:t xml:space="preserve"> et/ou dans l’axe transversal</w:t>
      </w:r>
      <w:r w:rsidR="00B77A3A" w:rsidRPr="00D912D2">
        <w:rPr>
          <w:szCs w:val="20"/>
        </w:rPr>
        <w:t xml:space="preserve">, son inscription dans l’un des </w:t>
      </w:r>
      <w:r w:rsidR="00AB4346">
        <w:rPr>
          <w:szCs w:val="20"/>
        </w:rPr>
        <w:t>37</w:t>
      </w:r>
      <w:r w:rsidR="00AB4346" w:rsidRPr="00D912D2">
        <w:rPr>
          <w:szCs w:val="20"/>
        </w:rPr>
        <w:t xml:space="preserve"> </w:t>
      </w:r>
      <w:r w:rsidR="00B77A3A" w:rsidRPr="00D912D2">
        <w:rPr>
          <w:szCs w:val="20"/>
        </w:rPr>
        <w:t xml:space="preserve">leviers thématiques </w:t>
      </w:r>
      <w:r w:rsidR="00166979" w:rsidRPr="00D912D2">
        <w:rPr>
          <w:szCs w:val="20"/>
        </w:rPr>
        <w:t>;</w:t>
      </w:r>
    </w:p>
    <w:p w14:paraId="40DAA51A" w14:textId="02C1205B" w:rsidR="00C249EA" w:rsidRPr="00D912D2" w:rsidRDefault="00C249EA" w:rsidP="00166979">
      <w:pPr>
        <w:numPr>
          <w:ilvl w:val="0"/>
          <w:numId w:val="10"/>
        </w:numPr>
        <w:spacing w:before="60" w:line="276" w:lineRule="auto"/>
        <w:ind w:left="714" w:hanging="357"/>
        <w:rPr>
          <w:szCs w:val="20"/>
        </w:rPr>
      </w:pPr>
      <w:proofErr w:type="gramStart"/>
      <w:r w:rsidRPr="00D912D2">
        <w:rPr>
          <w:szCs w:val="20"/>
        </w:rPr>
        <w:t>la</w:t>
      </w:r>
      <w:proofErr w:type="gramEnd"/>
      <w:r w:rsidRPr="00D912D2">
        <w:rPr>
          <w:szCs w:val="20"/>
        </w:rPr>
        <w:t xml:space="preserve"> contribution à l’une des </w:t>
      </w:r>
      <w:r w:rsidR="00365753">
        <w:rPr>
          <w:szCs w:val="20"/>
        </w:rPr>
        <w:t>5</w:t>
      </w:r>
      <w:r w:rsidR="00365753" w:rsidRPr="00D912D2">
        <w:rPr>
          <w:szCs w:val="20"/>
        </w:rPr>
        <w:t xml:space="preserve"> </w:t>
      </w:r>
      <w:r w:rsidRPr="00D912D2">
        <w:rPr>
          <w:szCs w:val="20"/>
        </w:rPr>
        <w:t>priorités régionales ;</w:t>
      </w:r>
    </w:p>
    <w:p w14:paraId="14EB4CF1" w14:textId="29F50B22" w:rsidR="00166979" w:rsidRDefault="00166979" w:rsidP="00166979">
      <w:pPr>
        <w:numPr>
          <w:ilvl w:val="0"/>
          <w:numId w:val="10"/>
        </w:numPr>
        <w:spacing w:before="60" w:line="276" w:lineRule="auto"/>
        <w:ind w:left="714" w:hanging="357"/>
        <w:rPr>
          <w:szCs w:val="20"/>
        </w:rPr>
      </w:pPr>
      <w:proofErr w:type="gramStart"/>
      <w:r w:rsidRPr="00D912D2">
        <w:rPr>
          <w:szCs w:val="20"/>
        </w:rPr>
        <w:t>la</w:t>
      </w:r>
      <w:proofErr w:type="gramEnd"/>
      <w:r w:rsidRPr="00D912D2">
        <w:rPr>
          <w:szCs w:val="20"/>
        </w:rPr>
        <w:t xml:space="preserve"> contribution du projet aux dynamiques de structuration régionale</w:t>
      </w:r>
      <w:r w:rsidR="00CE3193" w:rsidRPr="00D912D2">
        <w:rPr>
          <w:szCs w:val="20"/>
        </w:rPr>
        <w:t>, nationale</w:t>
      </w:r>
      <w:r w:rsidRPr="00D912D2">
        <w:rPr>
          <w:szCs w:val="20"/>
        </w:rPr>
        <w:t xml:space="preserve"> et/ou internationale ;</w:t>
      </w:r>
    </w:p>
    <w:p w14:paraId="38B8ECFF" w14:textId="326B0CC9" w:rsidR="00135B98" w:rsidRDefault="00135B98" w:rsidP="00166979">
      <w:pPr>
        <w:numPr>
          <w:ilvl w:val="0"/>
          <w:numId w:val="10"/>
        </w:numPr>
        <w:spacing w:before="60" w:line="276" w:lineRule="auto"/>
        <w:ind w:left="714" w:hanging="357"/>
        <w:rPr>
          <w:szCs w:val="20"/>
        </w:rPr>
      </w:pPr>
      <w:proofErr w:type="gramStart"/>
      <w:r>
        <w:rPr>
          <w:szCs w:val="20"/>
        </w:rPr>
        <w:t>l’impact</w:t>
      </w:r>
      <w:proofErr w:type="gramEnd"/>
      <w:r>
        <w:rPr>
          <w:szCs w:val="20"/>
        </w:rPr>
        <w:t xml:space="preserve"> territorial du projet en termes de diffusion et de transfert sur le territoire</w:t>
      </w:r>
      <w:r w:rsidR="009E36AD">
        <w:rPr>
          <w:szCs w:val="20"/>
        </w:rPr>
        <w:t> ;</w:t>
      </w:r>
    </w:p>
    <w:p w14:paraId="4FD64E90" w14:textId="74EEB1E7" w:rsidR="009E36AD" w:rsidRPr="00D912D2" w:rsidRDefault="009E36AD" w:rsidP="00A93CAE">
      <w:pPr>
        <w:spacing w:before="60" w:line="276" w:lineRule="auto"/>
        <w:rPr>
          <w:szCs w:val="20"/>
        </w:rPr>
      </w:pPr>
      <w:r w:rsidRPr="00AB4346">
        <w:rPr>
          <w:szCs w:val="20"/>
        </w:rPr>
        <w:t xml:space="preserve">La </w:t>
      </w:r>
      <w:r w:rsidRPr="00D0083F">
        <w:rPr>
          <w:szCs w:val="20"/>
        </w:rPr>
        <w:t>Région accordera un</w:t>
      </w:r>
      <w:r w:rsidR="00AB4346" w:rsidRPr="00D0083F">
        <w:rPr>
          <w:szCs w:val="20"/>
        </w:rPr>
        <w:t>e attention particulière à une répartition équilibrée des projets sur l’ensemble du territoire.</w:t>
      </w:r>
    </w:p>
    <w:p w14:paraId="2DB36628" w14:textId="2DD60B99" w:rsidR="005C752D" w:rsidRPr="00CA12DD" w:rsidRDefault="00086BF5" w:rsidP="009E36AD">
      <w:pPr>
        <w:spacing w:before="120" w:after="240" w:line="240" w:lineRule="auto"/>
        <w:rPr>
          <w:rFonts w:cs="Times New Roman"/>
          <w:i/>
          <w:color w:val="000000"/>
          <w:szCs w:val="20"/>
          <w:lang w:eastAsia="fr-FR"/>
        </w:rPr>
      </w:pPr>
      <w:r w:rsidRPr="00CA12DD">
        <w:rPr>
          <w:b/>
          <w:i/>
          <w:iCs/>
          <w:szCs w:val="20"/>
          <w:u w:val="single"/>
        </w:rPr>
        <w:t>É</w:t>
      </w:r>
      <w:r w:rsidR="005C752D" w:rsidRPr="00CA12DD">
        <w:rPr>
          <w:rFonts w:cs="Times New Roman"/>
          <w:b/>
          <w:i/>
          <w:color w:val="000000"/>
          <w:szCs w:val="20"/>
          <w:u w:val="single"/>
          <w:lang w:eastAsia="fr-FR"/>
        </w:rPr>
        <w:t xml:space="preserve">tape </w:t>
      </w:r>
      <w:r w:rsidR="00CC048A">
        <w:rPr>
          <w:rFonts w:cs="Times New Roman"/>
          <w:b/>
          <w:i/>
          <w:color w:val="000000"/>
          <w:szCs w:val="20"/>
          <w:u w:val="single"/>
          <w:lang w:eastAsia="fr-FR"/>
        </w:rPr>
        <w:t>5</w:t>
      </w:r>
      <w:r w:rsidR="005C752D" w:rsidRPr="00CA12DD">
        <w:rPr>
          <w:rFonts w:cs="Times New Roman"/>
          <w:b/>
          <w:i/>
          <w:color w:val="000000"/>
          <w:szCs w:val="20"/>
          <w:u w:val="single"/>
          <w:lang w:eastAsia="fr-FR"/>
        </w:rPr>
        <w:t xml:space="preserve"> - Diffusion de la liste provisoire des projets retenus aux établissements</w:t>
      </w:r>
      <w:r w:rsidR="005C752D" w:rsidRPr="00CA12DD">
        <w:rPr>
          <w:rFonts w:cs="Times New Roman"/>
          <w:b/>
          <w:i/>
          <w:color w:val="000000"/>
          <w:szCs w:val="20"/>
          <w:lang w:eastAsia="fr-FR"/>
        </w:rPr>
        <w:t xml:space="preserve"> </w:t>
      </w:r>
    </w:p>
    <w:p w14:paraId="5662CEFE" w14:textId="7A2D3426" w:rsidR="005C752D" w:rsidRPr="00D912D2" w:rsidRDefault="005C752D" w:rsidP="005C752D">
      <w:pPr>
        <w:spacing w:before="120" w:line="240" w:lineRule="auto"/>
        <w:rPr>
          <w:rFonts w:cs="Times New Roman"/>
          <w:color w:val="000000"/>
          <w:szCs w:val="20"/>
          <w:lang w:eastAsia="fr-FR"/>
        </w:rPr>
      </w:pPr>
      <w:r w:rsidRPr="00D912D2">
        <w:rPr>
          <w:rFonts w:cs="Times New Roman"/>
          <w:color w:val="000000"/>
          <w:szCs w:val="20"/>
          <w:lang w:eastAsia="fr-FR"/>
        </w:rPr>
        <w:t xml:space="preserve">Les résultats provisoires sont diffusés par </w:t>
      </w:r>
      <w:r w:rsidR="00697001" w:rsidRPr="00D912D2">
        <w:rPr>
          <w:rFonts w:cs="Times New Roman"/>
          <w:color w:val="000000"/>
          <w:szCs w:val="20"/>
          <w:lang w:eastAsia="fr-FR"/>
        </w:rPr>
        <w:t>e-</w:t>
      </w:r>
      <w:r w:rsidRPr="00D912D2">
        <w:rPr>
          <w:rFonts w:cs="Times New Roman"/>
          <w:color w:val="000000"/>
          <w:szCs w:val="20"/>
          <w:lang w:eastAsia="fr-FR"/>
        </w:rPr>
        <w:t>mail aux établissements.</w:t>
      </w:r>
    </w:p>
    <w:p w14:paraId="039F8295" w14:textId="5F1E256F" w:rsidR="005C752D" w:rsidRPr="00D912D2" w:rsidRDefault="00086BF5" w:rsidP="005C752D">
      <w:pPr>
        <w:spacing w:before="120" w:line="240" w:lineRule="auto"/>
        <w:rPr>
          <w:rFonts w:cs="Times New Roman"/>
          <w:b/>
          <w:i/>
          <w:color w:val="000000"/>
          <w:szCs w:val="20"/>
          <w:u w:val="single"/>
          <w:lang w:eastAsia="fr-FR"/>
        </w:rPr>
      </w:pPr>
      <w:r w:rsidRPr="00D912D2">
        <w:rPr>
          <w:b/>
          <w:i/>
          <w:iCs/>
          <w:szCs w:val="20"/>
          <w:u w:val="single"/>
        </w:rPr>
        <w:t>É</w:t>
      </w:r>
      <w:r w:rsidR="005C752D" w:rsidRPr="00D912D2">
        <w:rPr>
          <w:rFonts w:cs="Times New Roman"/>
          <w:b/>
          <w:i/>
          <w:color w:val="000000"/>
          <w:szCs w:val="20"/>
          <w:u w:val="single"/>
          <w:lang w:eastAsia="fr-FR"/>
        </w:rPr>
        <w:t xml:space="preserve">tape </w:t>
      </w:r>
      <w:r w:rsidR="00CC048A">
        <w:rPr>
          <w:rFonts w:cs="Times New Roman"/>
          <w:b/>
          <w:i/>
          <w:color w:val="000000"/>
          <w:szCs w:val="20"/>
          <w:u w:val="single"/>
          <w:lang w:eastAsia="fr-FR"/>
        </w:rPr>
        <w:t>6</w:t>
      </w:r>
      <w:r w:rsidR="005C752D" w:rsidRPr="00D912D2">
        <w:rPr>
          <w:rFonts w:cs="Times New Roman"/>
          <w:b/>
          <w:i/>
          <w:color w:val="000000"/>
          <w:szCs w:val="20"/>
          <w:u w:val="single"/>
          <w:lang w:eastAsia="fr-FR"/>
        </w:rPr>
        <w:t xml:space="preserve"> - Activation de la </w:t>
      </w:r>
      <w:r w:rsidR="005C752D" w:rsidRPr="00D912D2">
        <w:rPr>
          <w:rFonts w:cs="Times New Roman"/>
          <w:b/>
          <w:i/>
          <w:szCs w:val="20"/>
          <w:u w:val="single"/>
          <w:lang w:eastAsia="fr-FR"/>
        </w:rPr>
        <w:t>liste</w:t>
      </w:r>
      <w:r w:rsidR="005C752D" w:rsidRPr="00D912D2">
        <w:rPr>
          <w:rFonts w:cs="Times New Roman"/>
          <w:b/>
          <w:i/>
          <w:color w:val="000000"/>
          <w:szCs w:val="20"/>
          <w:u w:val="single"/>
          <w:lang w:eastAsia="fr-FR"/>
        </w:rPr>
        <w:t xml:space="preserve"> complémentaire en cas d’abandons de projets après sélection</w:t>
      </w:r>
    </w:p>
    <w:p w14:paraId="19613432" w14:textId="3D506268" w:rsidR="005C752D" w:rsidRPr="00D912D2" w:rsidRDefault="005C752D" w:rsidP="00A33AAE">
      <w:pPr>
        <w:spacing w:before="120" w:line="240" w:lineRule="auto"/>
        <w:rPr>
          <w:rFonts w:cs="Times New Roman"/>
          <w:color w:val="000000"/>
          <w:szCs w:val="20"/>
          <w:lang w:eastAsia="fr-FR"/>
        </w:rPr>
      </w:pPr>
      <w:r w:rsidRPr="00D912D2">
        <w:rPr>
          <w:rFonts w:cs="Times New Roman"/>
          <w:bCs/>
          <w:color w:val="000000"/>
          <w:szCs w:val="20"/>
          <w:lang w:eastAsia="fr-FR"/>
        </w:rPr>
        <w:t xml:space="preserve">En cas </w:t>
      </w:r>
      <w:r w:rsidRPr="00D912D2">
        <w:rPr>
          <w:rFonts w:cs="Times New Roman"/>
          <w:color w:val="000000"/>
          <w:szCs w:val="20"/>
          <w:lang w:eastAsia="fr-FR"/>
        </w:rPr>
        <w:t>d'abandons</w:t>
      </w:r>
      <w:r w:rsidRPr="00D912D2">
        <w:rPr>
          <w:rFonts w:cs="Times New Roman"/>
          <w:bCs/>
          <w:color w:val="000000"/>
          <w:szCs w:val="20"/>
          <w:lang w:eastAsia="fr-FR"/>
        </w:rPr>
        <w:t xml:space="preserve"> de projets après sélection,</w:t>
      </w:r>
      <w:r w:rsidRPr="00D912D2">
        <w:rPr>
          <w:rFonts w:cs="Times New Roman"/>
          <w:b/>
          <w:bCs/>
          <w:color w:val="000000"/>
          <w:szCs w:val="20"/>
          <w:lang w:eastAsia="fr-FR"/>
        </w:rPr>
        <w:t xml:space="preserve"> </w:t>
      </w:r>
      <w:r w:rsidRPr="00D912D2">
        <w:rPr>
          <w:rFonts w:cs="Times New Roman"/>
          <w:b/>
          <w:color w:val="000000"/>
          <w:szCs w:val="20"/>
          <w:lang w:eastAsia="fr-FR"/>
        </w:rPr>
        <w:t>la Région retient les projets classés en liste complémentaire dans l’ordre de classement indiqué</w:t>
      </w:r>
      <w:r w:rsidR="00A93D58">
        <w:rPr>
          <w:rStyle w:val="Appelnotedebasdep"/>
          <w:rFonts w:cs="Times New Roman"/>
          <w:b/>
          <w:color w:val="000000"/>
          <w:szCs w:val="20"/>
          <w:lang w:eastAsia="fr-FR"/>
        </w:rPr>
        <w:footnoteReference w:id="11"/>
      </w:r>
      <w:r w:rsidRPr="00D912D2">
        <w:rPr>
          <w:rFonts w:cs="Times New Roman"/>
          <w:color w:val="000000"/>
          <w:szCs w:val="20"/>
          <w:lang w:eastAsia="fr-FR"/>
        </w:rPr>
        <w:t>.</w:t>
      </w:r>
    </w:p>
    <w:p w14:paraId="2D97E23F" w14:textId="115390C9" w:rsidR="003B3BBB" w:rsidRPr="00D912D2" w:rsidRDefault="00086BF5" w:rsidP="003B3BBB">
      <w:pPr>
        <w:spacing w:before="120" w:line="240" w:lineRule="auto"/>
        <w:rPr>
          <w:rFonts w:cs="Times New Roman"/>
          <w:b/>
          <w:i/>
          <w:szCs w:val="20"/>
          <w:u w:val="single"/>
          <w:lang w:eastAsia="fr-FR"/>
        </w:rPr>
      </w:pPr>
      <w:r w:rsidRPr="00D912D2">
        <w:rPr>
          <w:b/>
          <w:i/>
          <w:iCs/>
          <w:szCs w:val="20"/>
          <w:u w:val="single"/>
        </w:rPr>
        <w:t>É</w:t>
      </w:r>
      <w:r w:rsidR="003B3BBB" w:rsidRPr="00D912D2">
        <w:rPr>
          <w:rFonts w:cs="Times New Roman"/>
          <w:b/>
          <w:i/>
          <w:color w:val="000000"/>
          <w:szCs w:val="20"/>
          <w:u w:val="single"/>
          <w:lang w:eastAsia="fr-FR"/>
        </w:rPr>
        <w:t xml:space="preserve">tape </w:t>
      </w:r>
      <w:r w:rsidR="00CC048A">
        <w:rPr>
          <w:rFonts w:cs="Times New Roman"/>
          <w:b/>
          <w:i/>
          <w:color w:val="000000"/>
          <w:szCs w:val="20"/>
          <w:u w:val="single"/>
          <w:lang w:eastAsia="fr-FR"/>
        </w:rPr>
        <w:t>7</w:t>
      </w:r>
      <w:r w:rsidR="003B3BBB" w:rsidRPr="00D912D2">
        <w:rPr>
          <w:rFonts w:cs="Times New Roman"/>
          <w:b/>
          <w:i/>
          <w:color w:val="000000"/>
          <w:szCs w:val="20"/>
          <w:u w:val="single"/>
          <w:lang w:eastAsia="fr-FR"/>
        </w:rPr>
        <w:t xml:space="preserve"> - Consolidation définitive par la Région et vote des subventions par projet par la commission permanente du Conseil </w:t>
      </w:r>
      <w:r w:rsidR="003B3BBB" w:rsidRPr="00D912D2">
        <w:rPr>
          <w:rFonts w:cs="Times New Roman"/>
          <w:b/>
          <w:i/>
          <w:szCs w:val="20"/>
          <w:u w:val="single"/>
          <w:lang w:eastAsia="fr-FR"/>
        </w:rPr>
        <w:t>régional</w:t>
      </w:r>
    </w:p>
    <w:p w14:paraId="36CF688C" w14:textId="77777777" w:rsidR="003B3BBB" w:rsidRPr="00D912D2" w:rsidRDefault="003B3BBB" w:rsidP="003B3BBB">
      <w:pPr>
        <w:spacing w:before="120" w:line="240" w:lineRule="auto"/>
        <w:rPr>
          <w:rFonts w:cs="Times New Roman"/>
          <w:szCs w:val="20"/>
          <w:lang w:eastAsia="fr-FR"/>
        </w:rPr>
      </w:pPr>
      <w:r w:rsidRPr="00D912D2">
        <w:rPr>
          <w:rFonts w:cs="Times New Roman"/>
          <w:szCs w:val="20"/>
          <w:lang w:eastAsia="fr-FR"/>
        </w:rPr>
        <w:t xml:space="preserve">C’est la commission permanente du Conseil régional qui décide </w:t>
      </w:r>
      <w:r w:rsidRPr="00D912D2">
        <w:rPr>
          <w:rFonts w:cs="Times New Roman"/>
          <w:i/>
          <w:szCs w:val="20"/>
          <w:lang w:eastAsia="fr-FR"/>
        </w:rPr>
        <w:t>in fine</w:t>
      </w:r>
      <w:r w:rsidRPr="00D912D2">
        <w:rPr>
          <w:rFonts w:cs="Times New Roman"/>
          <w:szCs w:val="20"/>
          <w:lang w:eastAsia="fr-FR"/>
        </w:rPr>
        <w:t xml:space="preserve"> du versement des subventions aux établissements.</w:t>
      </w:r>
    </w:p>
    <w:p w14:paraId="6476505B" w14:textId="00A2B9BB" w:rsidR="00A65A81" w:rsidRDefault="00790730" w:rsidP="000301AE">
      <w:pPr>
        <w:spacing w:before="120" w:line="276" w:lineRule="auto"/>
        <w:rPr>
          <w:szCs w:val="20"/>
        </w:rPr>
      </w:pPr>
      <w:r w:rsidRPr="00D912D2">
        <w:rPr>
          <w:szCs w:val="20"/>
        </w:rPr>
        <w:t>En cas de</w:t>
      </w:r>
      <w:r w:rsidR="005548CC" w:rsidRPr="00D912D2">
        <w:rPr>
          <w:szCs w:val="20"/>
        </w:rPr>
        <w:t xml:space="preserve"> décision favorable, les établissements concernés </w:t>
      </w:r>
      <w:r w:rsidRPr="00D912D2">
        <w:rPr>
          <w:szCs w:val="20"/>
        </w:rPr>
        <w:t xml:space="preserve">reçoivent </w:t>
      </w:r>
      <w:r w:rsidR="005548CC" w:rsidRPr="00D912D2">
        <w:rPr>
          <w:szCs w:val="20"/>
        </w:rPr>
        <w:t xml:space="preserve">un </w:t>
      </w:r>
      <w:r w:rsidR="005548CC" w:rsidRPr="00D912D2">
        <w:rPr>
          <w:b/>
          <w:szCs w:val="20"/>
        </w:rPr>
        <w:t xml:space="preserve">courrier de </w:t>
      </w:r>
      <w:r w:rsidR="00D91686" w:rsidRPr="00D912D2">
        <w:rPr>
          <w:b/>
          <w:szCs w:val="20"/>
        </w:rPr>
        <w:t>notification</w:t>
      </w:r>
      <w:r w:rsidR="00D91686" w:rsidRPr="00D912D2">
        <w:rPr>
          <w:szCs w:val="20"/>
        </w:rPr>
        <w:t>, accompagné</w:t>
      </w:r>
      <w:r w:rsidR="005548CC" w:rsidRPr="00D912D2">
        <w:rPr>
          <w:szCs w:val="20"/>
        </w:rPr>
        <w:t xml:space="preserve"> d’un </w:t>
      </w:r>
      <w:r w:rsidR="005548CC" w:rsidRPr="00D912D2">
        <w:rPr>
          <w:b/>
          <w:szCs w:val="20"/>
        </w:rPr>
        <w:t xml:space="preserve">arrêté </w:t>
      </w:r>
      <w:r w:rsidR="00C36018" w:rsidRPr="00D912D2">
        <w:rPr>
          <w:b/>
          <w:szCs w:val="20"/>
        </w:rPr>
        <w:t xml:space="preserve">par projet </w:t>
      </w:r>
      <w:r w:rsidR="005548CC" w:rsidRPr="00D912D2">
        <w:rPr>
          <w:b/>
          <w:szCs w:val="20"/>
        </w:rPr>
        <w:t>définissant les conditions de mise en œuvre de l’aide octroyée</w:t>
      </w:r>
      <w:r w:rsidR="005548CC" w:rsidRPr="00D912D2">
        <w:rPr>
          <w:szCs w:val="20"/>
        </w:rPr>
        <w:t>.</w:t>
      </w:r>
    </w:p>
    <w:p w14:paraId="10903168" w14:textId="77777777" w:rsidR="00CF0D74" w:rsidRPr="00D912D2" w:rsidRDefault="00CF0D74" w:rsidP="004C290B">
      <w:pPr>
        <w:spacing w:before="120" w:line="276" w:lineRule="auto"/>
        <w:rPr>
          <w:szCs w:val="20"/>
        </w:rPr>
      </w:pPr>
    </w:p>
    <w:p w14:paraId="219F8002" w14:textId="1C17B4E9" w:rsidR="00A65A81" w:rsidRPr="00D912D2" w:rsidRDefault="005548CC" w:rsidP="007D6B57">
      <w:pPr>
        <w:pBdr>
          <w:top w:val="single" w:sz="12" w:space="4" w:color="000000"/>
          <w:left w:val="single" w:sz="12" w:space="4" w:color="000000"/>
          <w:bottom w:val="single" w:sz="12" w:space="1" w:color="000000"/>
          <w:right w:val="single" w:sz="12" w:space="4" w:color="000000"/>
        </w:pBdr>
        <w:spacing w:line="276" w:lineRule="auto"/>
        <w:rPr>
          <w:b/>
          <w:i/>
          <w:iCs/>
          <w:szCs w:val="20"/>
        </w:rPr>
      </w:pPr>
      <w:r w:rsidRPr="00D912D2">
        <w:rPr>
          <w:b/>
          <w:i/>
          <w:iCs/>
          <w:szCs w:val="20"/>
        </w:rPr>
        <w:t xml:space="preserve"> </w:t>
      </w:r>
      <w:r w:rsidR="00817ACA" w:rsidRPr="00D912D2">
        <w:rPr>
          <w:b/>
          <w:i/>
          <w:iCs/>
          <w:szCs w:val="20"/>
        </w:rPr>
        <w:t>8</w:t>
      </w:r>
      <w:r w:rsidRPr="00D912D2">
        <w:rPr>
          <w:b/>
          <w:i/>
          <w:iCs/>
          <w:szCs w:val="20"/>
        </w:rPr>
        <w:t xml:space="preserve"> - CONDITIONS DE VERSEMENT DE L’AIDE</w:t>
      </w:r>
    </w:p>
    <w:p w14:paraId="09E9FE9E" w14:textId="77777777" w:rsidR="00A65A81" w:rsidRPr="00D912D2" w:rsidRDefault="005548CC" w:rsidP="00D401A3">
      <w:pPr>
        <w:spacing w:before="240" w:line="276" w:lineRule="auto"/>
        <w:rPr>
          <w:szCs w:val="20"/>
        </w:rPr>
      </w:pPr>
      <w:r w:rsidRPr="00D912D2">
        <w:rPr>
          <w:szCs w:val="20"/>
        </w:rPr>
        <w:t>L’aide sera versée comme suit :</w:t>
      </w:r>
    </w:p>
    <w:p w14:paraId="70D9BB67" w14:textId="29C31602" w:rsidR="00A65A81" w:rsidRPr="00D912D2" w:rsidRDefault="00566F4A" w:rsidP="00BE1E21">
      <w:pPr>
        <w:numPr>
          <w:ilvl w:val="0"/>
          <w:numId w:val="10"/>
        </w:numPr>
        <w:spacing w:before="60" w:line="276" w:lineRule="auto"/>
        <w:rPr>
          <w:szCs w:val="20"/>
        </w:rPr>
      </w:pPr>
      <w:r w:rsidRPr="00D912D2">
        <w:rPr>
          <w:szCs w:val="20"/>
        </w:rPr>
        <w:t xml:space="preserve">50 % </w:t>
      </w:r>
      <w:r w:rsidR="00BE1E21" w:rsidRPr="00D912D2">
        <w:rPr>
          <w:szCs w:val="20"/>
        </w:rPr>
        <w:t xml:space="preserve">après signature de l’arrêté par la Région, et </w:t>
      </w:r>
      <w:r w:rsidRPr="00D912D2">
        <w:rPr>
          <w:szCs w:val="20"/>
        </w:rPr>
        <w:t>sur présentation du CV</w:t>
      </w:r>
      <w:r w:rsidR="00F50D76" w:rsidRPr="00D912D2">
        <w:rPr>
          <w:rStyle w:val="Appelnotedebasdep"/>
          <w:szCs w:val="20"/>
        </w:rPr>
        <w:footnoteReference w:id="12"/>
      </w:r>
      <w:r w:rsidRPr="00D912D2">
        <w:rPr>
          <w:szCs w:val="20"/>
        </w:rPr>
        <w:t xml:space="preserve"> </w:t>
      </w:r>
      <w:proofErr w:type="spellStart"/>
      <w:r w:rsidR="00BE1E21" w:rsidRPr="00D912D2">
        <w:rPr>
          <w:szCs w:val="20"/>
        </w:rPr>
        <w:t>du·de</w:t>
      </w:r>
      <w:proofErr w:type="spellEnd"/>
      <w:r w:rsidR="00BE1E21" w:rsidRPr="00D912D2">
        <w:rPr>
          <w:szCs w:val="20"/>
        </w:rPr>
        <w:t xml:space="preserve"> la </w:t>
      </w:r>
      <w:proofErr w:type="spellStart"/>
      <w:r w:rsidR="00BE1E21" w:rsidRPr="00D912D2">
        <w:rPr>
          <w:szCs w:val="20"/>
        </w:rPr>
        <w:t>post-doctorant·e</w:t>
      </w:r>
      <w:proofErr w:type="spellEnd"/>
      <w:r w:rsidR="00BE1E21" w:rsidRPr="00D912D2">
        <w:rPr>
          <w:szCs w:val="20"/>
        </w:rPr>
        <w:t xml:space="preserve"> </w:t>
      </w:r>
      <w:r w:rsidR="005548CC" w:rsidRPr="00D912D2">
        <w:rPr>
          <w:szCs w:val="20"/>
        </w:rPr>
        <w:t>et de la copie du contrat de travail</w:t>
      </w:r>
      <w:r w:rsidR="00962533" w:rsidRPr="00D912D2">
        <w:rPr>
          <w:szCs w:val="20"/>
        </w:rPr>
        <w:t xml:space="preserve"> </w:t>
      </w:r>
      <w:r w:rsidR="00BE1E21" w:rsidRPr="00D912D2">
        <w:rPr>
          <w:szCs w:val="20"/>
        </w:rPr>
        <w:t>(</w:t>
      </w:r>
      <w:r w:rsidR="00526854" w:rsidRPr="00D912D2">
        <w:rPr>
          <w:szCs w:val="20"/>
        </w:rPr>
        <w:t>dont</w:t>
      </w:r>
      <w:r w:rsidR="00962533" w:rsidRPr="00D912D2">
        <w:rPr>
          <w:szCs w:val="20"/>
        </w:rPr>
        <w:t xml:space="preserve"> la durée </w:t>
      </w:r>
      <w:r w:rsidR="00526854" w:rsidRPr="00D912D2">
        <w:rPr>
          <w:szCs w:val="20"/>
        </w:rPr>
        <w:t xml:space="preserve">doit au moins être égale à la </w:t>
      </w:r>
      <w:r w:rsidR="00962533" w:rsidRPr="00D912D2">
        <w:rPr>
          <w:szCs w:val="20"/>
        </w:rPr>
        <w:t>du</w:t>
      </w:r>
      <w:r w:rsidR="00526854" w:rsidRPr="00D912D2">
        <w:rPr>
          <w:szCs w:val="20"/>
        </w:rPr>
        <w:t>rée du</w:t>
      </w:r>
      <w:r w:rsidR="00962533" w:rsidRPr="00D912D2">
        <w:rPr>
          <w:szCs w:val="20"/>
        </w:rPr>
        <w:t xml:space="preserve"> projet</w:t>
      </w:r>
      <w:r w:rsidR="00BE1E21" w:rsidRPr="00D912D2">
        <w:rPr>
          <w:szCs w:val="20"/>
        </w:rPr>
        <w:t xml:space="preserve">, soit </w:t>
      </w:r>
      <w:r w:rsidR="00526854" w:rsidRPr="00D912D2">
        <w:rPr>
          <w:szCs w:val="20"/>
        </w:rPr>
        <w:t>18 ou 24 mois)</w:t>
      </w:r>
      <w:r w:rsidR="005548CC" w:rsidRPr="00D912D2">
        <w:rPr>
          <w:szCs w:val="20"/>
        </w:rPr>
        <w:t xml:space="preserve"> ;</w:t>
      </w:r>
    </w:p>
    <w:p w14:paraId="6BF74D9C" w14:textId="5BCD224F" w:rsidR="00A65A81" w:rsidRPr="00D912D2" w:rsidRDefault="005548CC" w:rsidP="007D6B57">
      <w:pPr>
        <w:numPr>
          <w:ilvl w:val="0"/>
          <w:numId w:val="10"/>
        </w:numPr>
        <w:spacing w:before="60" w:line="276" w:lineRule="auto"/>
        <w:ind w:left="714" w:hanging="357"/>
        <w:rPr>
          <w:szCs w:val="20"/>
        </w:rPr>
      </w:pPr>
      <w:proofErr w:type="gramStart"/>
      <w:r w:rsidRPr="00D912D2">
        <w:rPr>
          <w:szCs w:val="20"/>
        </w:rPr>
        <w:lastRenderedPageBreak/>
        <w:t>le</w:t>
      </w:r>
      <w:proofErr w:type="gramEnd"/>
      <w:r w:rsidRPr="00D912D2">
        <w:rPr>
          <w:szCs w:val="20"/>
        </w:rPr>
        <w:t xml:space="preserve"> solde, au prorata des dépenses réalisées et justifiées</w:t>
      </w:r>
      <w:r w:rsidR="00105464" w:rsidRPr="00D912D2">
        <w:rPr>
          <w:szCs w:val="20"/>
        </w:rPr>
        <w:t>,</w:t>
      </w:r>
      <w:r w:rsidRPr="00D912D2">
        <w:rPr>
          <w:szCs w:val="20"/>
        </w:rPr>
        <w:t xml:space="preserve"> sur présentation</w:t>
      </w:r>
      <w:r w:rsidR="00BE1E21" w:rsidRPr="00D912D2">
        <w:rPr>
          <w:szCs w:val="20"/>
        </w:rPr>
        <w:t xml:space="preserve"> des pièces suivantes</w:t>
      </w:r>
      <w:r w:rsidRPr="00D912D2">
        <w:rPr>
          <w:szCs w:val="20"/>
        </w:rPr>
        <w:t xml:space="preserve"> :</w:t>
      </w:r>
    </w:p>
    <w:p w14:paraId="1925DDB4" w14:textId="36284976" w:rsidR="00BE1E21" w:rsidRPr="00D912D2" w:rsidRDefault="00BE1E21" w:rsidP="00BE1E21">
      <w:pPr>
        <w:numPr>
          <w:ilvl w:val="1"/>
          <w:numId w:val="12"/>
        </w:numPr>
        <w:spacing w:before="60" w:line="276" w:lineRule="auto"/>
        <w:ind w:left="1440" w:hanging="360"/>
        <w:rPr>
          <w:szCs w:val="20"/>
        </w:rPr>
      </w:pPr>
      <w:proofErr w:type="gramStart"/>
      <w:r w:rsidRPr="00D912D2">
        <w:rPr>
          <w:szCs w:val="20"/>
        </w:rPr>
        <w:t>un</w:t>
      </w:r>
      <w:proofErr w:type="gramEnd"/>
      <w:r w:rsidRPr="00D912D2">
        <w:rPr>
          <w:szCs w:val="20"/>
        </w:rPr>
        <w:t xml:space="preserve"> état récapitulatif final des dépenses réalisées (à hauteur du montant de l’assiette éligible), certifié sincère et conforme par le comptable du bénéficiaire (agent comptable, commissaire aux comptes, trésorier...), attestant de la réalisation de l’opération</w:t>
      </w:r>
      <w:r w:rsidR="00F71DFE" w:rsidRPr="00D912D2">
        <w:rPr>
          <w:szCs w:val="20"/>
        </w:rPr>
        <w:t> ;</w:t>
      </w:r>
    </w:p>
    <w:p w14:paraId="096948CB" w14:textId="1DB34225" w:rsidR="00A65A81" w:rsidRPr="00D912D2" w:rsidRDefault="005548CC" w:rsidP="007D6B57">
      <w:pPr>
        <w:numPr>
          <w:ilvl w:val="1"/>
          <w:numId w:val="12"/>
        </w:numPr>
        <w:spacing w:before="60" w:line="276" w:lineRule="auto"/>
        <w:ind w:left="1440" w:hanging="360"/>
        <w:rPr>
          <w:szCs w:val="20"/>
        </w:rPr>
      </w:pPr>
      <w:proofErr w:type="gramStart"/>
      <w:r w:rsidRPr="00D912D2">
        <w:rPr>
          <w:szCs w:val="20"/>
        </w:rPr>
        <w:t>un</w:t>
      </w:r>
      <w:proofErr w:type="gramEnd"/>
      <w:r w:rsidRPr="00D912D2">
        <w:rPr>
          <w:szCs w:val="20"/>
        </w:rPr>
        <w:t xml:space="preserve"> rapport final de 2 pages maximum</w:t>
      </w:r>
      <w:r w:rsidR="00806207" w:rsidRPr="00D912D2">
        <w:rPr>
          <w:szCs w:val="20"/>
        </w:rPr>
        <w:t xml:space="preserve"> suivant un modèle défini par la Région comportant un résumé des travaux réalisés et des résultats obtenus lors du projet, des éléments de suivi de la valorisation du projet (publications, conférences scientifiques et/ou grand public, brevets, collaborations académiques et/ou industrielles) et des éléments de suivi de la carrière </w:t>
      </w:r>
      <w:proofErr w:type="spellStart"/>
      <w:r w:rsidR="00806207" w:rsidRPr="00D912D2">
        <w:rPr>
          <w:szCs w:val="20"/>
        </w:rPr>
        <w:t>du·</w:t>
      </w:r>
      <w:r w:rsidR="00D749B6" w:rsidRPr="00D912D2">
        <w:rPr>
          <w:szCs w:val="20"/>
        </w:rPr>
        <w:t>de</w:t>
      </w:r>
      <w:proofErr w:type="spellEnd"/>
      <w:r w:rsidR="00D749B6" w:rsidRPr="00D912D2">
        <w:rPr>
          <w:szCs w:val="20"/>
        </w:rPr>
        <w:t xml:space="preserve"> la </w:t>
      </w:r>
      <w:proofErr w:type="spellStart"/>
      <w:r w:rsidR="00D749B6" w:rsidRPr="00D912D2">
        <w:rPr>
          <w:szCs w:val="20"/>
        </w:rPr>
        <w:t>post-doctorant·</w:t>
      </w:r>
      <w:r w:rsidR="00806207" w:rsidRPr="00D912D2">
        <w:rPr>
          <w:szCs w:val="20"/>
        </w:rPr>
        <w:t>e</w:t>
      </w:r>
      <w:proofErr w:type="spellEnd"/>
      <w:r w:rsidR="00806207" w:rsidRPr="00D912D2">
        <w:rPr>
          <w:szCs w:val="20"/>
        </w:rPr>
        <w:t xml:space="preserve"> à l’issue du projet SAD.</w:t>
      </w:r>
      <w:r w:rsidRPr="00D912D2">
        <w:rPr>
          <w:szCs w:val="20"/>
        </w:rPr>
        <w:t xml:space="preserve"> </w:t>
      </w:r>
      <w:r w:rsidR="00817ACA" w:rsidRPr="00D912D2">
        <w:rPr>
          <w:szCs w:val="20"/>
        </w:rPr>
        <w:t>Ces éléments devront être renseignés sur l’extranet recherche (sous réserve que la fonctionnalité soit activée).</w:t>
      </w:r>
    </w:p>
    <w:p w14:paraId="38530E8D" w14:textId="033F54DA" w:rsidR="00A65A81" w:rsidRPr="00D912D2" w:rsidRDefault="005548CC" w:rsidP="000301AE">
      <w:pPr>
        <w:spacing w:before="120" w:line="276" w:lineRule="auto"/>
        <w:rPr>
          <w:szCs w:val="20"/>
        </w:rPr>
      </w:pPr>
      <w:r w:rsidRPr="00D912D2">
        <w:rPr>
          <w:szCs w:val="20"/>
        </w:rPr>
        <w:t xml:space="preserve">L'ensemble des justificatifs doit être transmis </w:t>
      </w:r>
      <w:r w:rsidRPr="00D912D2">
        <w:rPr>
          <w:b/>
          <w:szCs w:val="20"/>
        </w:rPr>
        <w:t>en langue française</w:t>
      </w:r>
      <w:r w:rsidRPr="00D912D2">
        <w:rPr>
          <w:szCs w:val="20"/>
        </w:rPr>
        <w:t xml:space="preserve">. </w:t>
      </w:r>
    </w:p>
    <w:p w14:paraId="2FA6E871" w14:textId="1B53794B" w:rsidR="00BE1E21" w:rsidRPr="00D912D2" w:rsidRDefault="00BE1E21" w:rsidP="00BE1E21">
      <w:pPr>
        <w:spacing w:before="120" w:line="276" w:lineRule="auto"/>
        <w:rPr>
          <w:szCs w:val="20"/>
        </w:rPr>
      </w:pPr>
      <w:r w:rsidRPr="00D912D2">
        <w:rPr>
          <w:szCs w:val="20"/>
        </w:rPr>
        <w:t>Le montant de la subvention régionale ne pourra en aucun cas être revu à la hausse et sera, le cas échéant, réduit au prorata des dépenses justifiées.</w:t>
      </w:r>
    </w:p>
    <w:p w14:paraId="7A8C4EA4" w14:textId="7E553F56" w:rsidR="00A65A81" w:rsidRPr="00D912D2" w:rsidRDefault="005548CC" w:rsidP="000301AE">
      <w:pPr>
        <w:spacing w:before="120" w:line="276" w:lineRule="auto"/>
      </w:pPr>
      <w:r w:rsidRPr="00D912D2">
        <w:rPr>
          <w:b/>
          <w:bCs/>
          <w:szCs w:val="20"/>
        </w:rPr>
        <w:t xml:space="preserve">Si le projet n’a pas débuté au plus tard </w:t>
      </w:r>
      <w:r w:rsidR="005A707C" w:rsidRPr="00D912D2">
        <w:rPr>
          <w:b/>
          <w:bCs/>
          <w:szCs w:val="20"/>
        </w:rPr>
        <w:t xml:space="preserve">le </w:t>
      </w:r>
      <w:r w:rsidR="00962533" w:rsidRPr="00D912D2">
        <w:rPr>
          <w:b/>
          <w:bCs/>
          <w:szCs w:val="20"/>
        </w:rPr>
        <w:t>2</w:t>
      </w:r>
      <w:r w:rsidR="003A1BBD" w:rsidRPr="00D912D2">
        <w:rPr>
          <w:b/>
          <w:bCs/>
          <w:szCs w:val="20"/>
        </w:rPr>
        <w:t xml:space="preserve"> janvier 202</w:t>
      </w:r>
      <w:r w:rsidR="003B7F28">
        <w:rPr>
          <w:b/>
          <w:bCs/>
          <w:szCs w:val="20"/>
        </w:rPr>
        <w:t>6</w:t>
      </w:r>
      <w:r w:rsidRPr="00D912D2">
        <w:rPr>
          <w:b/>
          <w:bCs/>
          <w:szCs w:val="20"/>
        </w:rPr>
        <w:t xml:space="preserve"> </w:t>
      </w:r>
      <w:r w:rsidRPr="00D912D2">
        <w:rPr>
          <w:szCs w:val="20"/>
        </w:rPr>
        <w:t xml:space="preserve">(la date de signature du contrat de travail </w:t>
      </w:r>
      <w:proofErr w:type="spellStart"/>
      <w:r w:rsidRPr="00D912D2">
        <w:rPr>
          <w:szCs w:val="20"/>
        </w:rPr>
        <w:t>du</w:t>
      </w:r>
      <w:r w:rsidR="005C03E4" w:rsidRPr="00D912D2">
        <w:rPr>
          <w:szCs w:val="20"/>
        </w:rPr>
        <w:t>·</w:t>
      </w:r>
      <w:r w:rsidR="00530C31" w:rsidRPr="00D912D2">
        <w:rPr>
          <w:szCs w:val="20"/>
        </w:rPr>
        <w:t>de</w:t>
      </w:r>
      <w:proofErr w:type="spellEnd"/>
      <w:r w:rsidR="00530C31" w:rsidRPr="00D912D2">
        <w:rPr>
          <w:szCs w:val="20"/>
        </w:rPr>
        <w:t xml:space="preserve"> la</w:t>
      </w:r>
      <w:r w:rsidRPr="00D912D2">
        <w:rPr>
          <w:szCs w:val="20"/>
        </w:rPr>
        <w:t xml:space="preserve"> </w:t>
      </w:r>
      <w:proofErr w:type="spellStart"/>
      <w:r w:rsidRPr="00D912D2">
        <w:rPr>
          <w:szCs w:val="20"/>
        </w:rPr>
        <w:t>post-doctorant</w:t>
      </w:r>
      <w:r w:rsidR="005C03E4" w:rsidRPr="00D912D2">
        <w:rPr>
          <w:szCs w:val="20"/>
        </w:rPr>
        <w:t>·</w:t>
      </w:r>
      <w:r w:rsidR="00530C31" w:rsidRPr="00D912D2">
        <w:rPr>
          <w:szCs w:val="20"/>
        </w:rPr>
        <w:t>e</w:t>
      </w:r>
      <w:proofErr w:type="spellEnd"/>
      <w:r w:rsidRPr="00D912D2">
        <w:rPr>
          <w:szCs w:val="20"/>
        </w:rPr>
        <w:t xml:space="preserve"> faisant foi),</w:t>
      </w:r>
      <w:r w:rsidRPr="00D912D2">
        <w:rPr>
          <w:b/>
          <w:bCs/>
          <w:szCs w:val="20"/>
        </w:rPr>
        <w:t xml:space="preserve"> l’aide régionale </w:t>
      </w:r>
      <w:r w:rsidR="003A1BBD" w:rsidRPr="00D912D2">
        <w:rPr>
          <w:b/>
          <w:bCs/>
          <w:szCs w:val="20"/>
        </w:rPr>
        <w:t xml:space="preserve">sera </w:t>
      </w:r>
      <w:r w:rsidRPr="00D912D2">
        <w:rPr>
          <w:b/>
          <w:bCs/>
          <w:szCs w:val="20"/>
        </w:rPr>
        <w:t>annulée</w:t>
      </w:r>
      <w:r w:rsidR="003A1BBD" w:rsidRPr="00D912D2">
        <w:rPr>
          <w:szCs w:val="20"/>
        </w:rPr>
        <w:t xml:space="preserve">. </w:t>
      </w:r>
      <w:r w:rsidR="003A1BBD" w:rsidRPr="00D912D2">
        <w:rPr>
          <w:b/>
          <w:szCs w:val="20"/>
        </w:rPr>
        <w:t xml:space="preserve">Aucun </w:t>
      </w:r>
      <w:r w:rsidRPr="00D912D2">
        <w:rPr>
          <w:b/>
          <w:szCs w:val="20"/>
        </w:rPr>
        <w:t xml:space="preserve">report </w:t>
      </w:r>
      <w:r w:rsidR="003A1BBD" w:rsidRPr="00D912D2">
        <w:rPr>
          <w:b/>
          <w:szCs w:val="20"/>
        </w:rPr>
        <w:t>ne sera accepté.</w:t>
      </w:r>
      <w:r w:rsidR="003A1BBD" w:rsidRPr="00D912D2">
        <w:rPr>
          <w:szCs w:val="20"/>
        </w:rPr>
        <w:t xml:space="preserve"> </w:t>
      </w:r>
    </w:p>
    <w:p w14:paraId="73B1EA14" w14:textId="35170D78" w:rsidR="00A65A81" w:rsidRPr="00D912D2" w:rsidRDefault="005548CC" w:rsidP="000301AE">
      <w:pPr>
        <w:spacing w:before="120" w:line="276" w:lineRule="auto"/>
      </w:pPr>
      <w:r w:rsidRPr="00D912D2">
        <w:rPr>
          <w:b/>
          <w:szCs w:val="20"/>
        </w:rPr>
        <w:t>Sont considérées comme éligibles les dépenses réalisées à compter de la date de notification de l'arrêté</w:t>
      </w:r>
      <w:r w:rsidRPr="00D912D2">
        <w:rPr>
          <w:szCs w:val="20"/>
        </w:rPr>
        <w:t>,</w:t>
      </w:r>
      <w:r w:rsidRPr="00D912D2">
        <w:rPr>
          <w:b/>
          <w:szCs w:val="20"/>
        </w:rPr>
        <w:t xml:space="preserve"> </w:t>
      </w:r>
      <w:r w:rsidRPr="00D912D2">
        <w:rPr>
          <w:szCs w:val="20"/>
        </w:rPr>
        <w:t xml:space="preserve">sauf si la date de prise en compte de l’opération est précisée dans </w:t>
      </w:r>
      <w:r w:rsidR="00AA6121" w:rsidRPr="00D912D2">
        <w:rPr>
          <w:szCs w:val="20"/>
        </w:rPr>
        <w:t xml:space="preserve">la demande déposée sur l’Extranet recherche et </w:t>
      </w:r>
      <w:r w:rsidR="003E4B57" w:rsidRPr="00D912D2">
        <w:rPr>
          <w:szCs w:val="20"/>
        </w:rPr>
        <w:t xml:space="preserve">dans </w:t>
      </w:r>
      <w:r w:rsidRPr="00D912D2">
        <w:rPr>
          <w:szCs w:val="20"/>
        </w:rPr>
        <w:t xml:space="preserve">la délibération </w:t>
      </w:r>
      <w:r w:rsidR="006D4916" w:rsidRPr="00D912D2">
        <w:rPr>
          <w:szCs w:val="20"/>
        </w:rPr>
        <w:t>de la commission permanente.</w:t>
      </w:r>
    </w:p>
    <w:p w14:paraId="56AC428C" w14:textId="19B5A143" w:rsidR="00BE1E21" w:rsidRPr="00D912D2" w:rsidRDefault="005548CC" w:rsidP="00BE1E21">
      <w:pPr>
        <w:spacing w:before="120" w:line="276" w:lineRule="auto"/>
        <w:rPr>
          <w:szCs w:val="20"/>
        </w:rPr>
      </w:pPr>
      <w:r w:rsidRPr="00D912D2">
        <w:rPr>
          <w:b/>
          <w:szCs w:val="20"/>
        </w:rPr>
        <w:t xml:space="preserve">La période de prise en compte des dépenses est de </w:t>
      </w:r>
      <w:r w:rsidR="003130D9" w:rsidRPr="00D912D2">
        <w:rPr>
          <w:b/>
          <w:szCs w:val="20"/>
        </w:rPr>
        <w:t>18 ou 24 mois</w:t>
      </w:r>
      <w:r w:rsidR="003130D9" w:rsidRPr="00D912D2">
        <w:rPr>
          <w:szCs w:val="20"/>
        </w:rPr>
        <w:t xml:space="preserve">, selon la durée du projet, </w:t>
      </w:r>
      <w:r w:rsidR="003130D9" w:rsidRPr="00D912D2">
        <w:rPr>
          <w:b/>
          <w:szCs w:val="20"/>
        </w:rPr>
        <w:t xml:space="preserve">à compter du </w:t>
      </w:r>
      <w:r w:rsidRPr="00D912D2">
        <w:rPr>
          <w:b/>
          <w:szCs w:val="20"/>
        </w:rPr>
        <w:t>démarrage effectif du projet</w:t>
      </w:r>
      <w:r w:rsidRPr="00D912D2">
        <w:rPr>
          <w:szCs w:val="20"/>
        </w:rPr>
        <w:t xml:space="preserve"> (la date de recrutement </w:t>
      </w:r>
      <w:proofErr w:type="spellStart"/>
      <w:r w:rsidRPr="00D912D2">
        <w:rPr>
          <w:szCs w:val="20"/>
        </w:rPr>
        <w:t>du</w:t>
      </w:r>
      <w:r w:rsidR="005C03E4" w:rsidRPr="00D912D2">
        <w:rPr>
          <w:szCs w:val="20"/>
        </w:rPr>
        <w:t>·</w:t>
      </w:r>
      <w:r w:rsidR="00530C31" w:rsidRPr="00D912D2">
        <w:rPr>
          <w:szCs w:val="20"/>
        </w:rPr>
        <w:t>de</w:t>
      </w:r>
      <w:proofErr w:type="spellEnd"/>
      <w:r w:rsidR="00530C31" w:rsidRPr="00D912D2">
        <w:rPr>
          <w:szCs w:val="20"/>
        </w:rPr>
        <w:t xml:space="preserve"> la</w:t>
      </w:r>
      <w:r w:rsidRPr="00D912D2">
        <w:rPr>
          <w:szCs w:val="20"/>
        </w:rPr>
        <w:t xml:space="preserve"> </w:t>
      </w:r>
      <w:proofErr w:type="spellStart"/>
      <w:r w:rsidRPr="00D912D2">
        <w:rPr>
          <w:szCs w:val="20"/>
        </w:rPr>
        <w:t>post-doctorant</w:t>
      </w:r>
      <w:r w:rsidR="005C03E4" w:rsidRPr="00D912D2">
        <w:rPr>
          <w:szCs w:val="20"/>
        </w:rPr>
        <w:t>·</w:t>
      </w:r>
      <w:r w:rsidR="00530C31" w:rsidRPr="00D912D2">
        <w:rPr>
          <w:szCs w:val="20"/>
        </w:rPr>
        <w:t>e</w:t>
      </w:r>
      <w:proofErr w:type="spellEnd"/>
      <w:r w:rsidRPr="00D912D2">
        <w:rPr>
          <w:szCs w:val="20"/>
        </w:rPr>
        <w:t xml:space="preserve"> faisant foi).</w:t>
      </w:r>
      <w:r w:rsidR="00706E34" w:rsidRPr="00D912D2">
        <w:rPr>
          <w:szCs w:val="20"/>
        </w:rPr>
        <w:t xml:space="preserve"> </w:t>
      </w:r>
      <w:r w:rsidR="00985714" w:rsidRPr="00D912D2">
        <w:rPr>
          <w:b/>
          <w:szCs w:val="20"/>
        </w:rPr>
        <w:t>La</w:t>
      </w:r>
      <w:r w:rsidR="00D7580F" w:rsidRPr="00D912D2">
        <w:rPr>
          <w:b/>
          <w:szCs w:val="20"/>
        </w:rPr>
        <w:t xml:space="preserve"> durée du contrat de travail </w:t>
      </w:r>
      <w:proofErr w:type="spellStart"/>
      <w:r w:rsidR="00D7580F" w:rsidRPr="00D912D2">
        <w:rPr>
          <w:b/>
          <w:szCs w:val="20"/>
        </w:rPr>
        <w:t>du·de</w:t>
      </w:r>
      <w:proofErr w:type="spellEnd"/>
      <w:r w:rsidR="00D7580F" w:rsidRPr="00D912D2">
        <w:rPr>
          <w:b/>
          <w:szCs w:val="20"/>
        </w:rPr>
        <w:t xml:space="preserve"> la </w:t>
      </w:r>
      <w:proofErr w:type="spellStart"/>
      <w:r w:rsidR="00D7580F" w:rsidRPr="00D912D2">
        <w:rPr>
          <w:b/>
          <w:szCs w:val="20"/>
        </w:rPr>
        <w:t>post-doctorant·e</w:t>
      </w:r>
      <w:proofErr w:type="spellEnd"/>
      <w:r w:rsidR="00985714" w:rsidRPr="00D912D2">
        <w:rPr>
          <w:b/>
          <w:szCs w:val="20"/>
        </w:rPr>
        <w:t xml:space="preserve"> </w:t>
      </w:r>
      <w:r w:rsidR="00D7580F" w:rsidRPr="00D912D2">
        <w:rPr>
          <w:b/>
          <w:szCs w:val="20"/>
        </w:rPr>
        <w:t xml:space="preserve">doit correspondre au minimum à la </w:t>
      </w:r>
      <w:r w:rsidR="008D4501" w:rsidRPr="00D912D2">
        <w:rPr>
          <w:b/>
          <w:szCs w:val="20"/>
        </w:rPr>
        <w:t>durée du projet</w:t>
      </w:r>
      <w:r w:rsidR="00985714" w:rsidRPr="00D912D2">
        <w:rPr>
          <w:b/>
          <w:szCs w:val="20"/>
        </w:rPr>
        <w:t>.</w:t>
      </w:r>
    </w:p>
    <w:p w14:paraId="204A8F94" w14:textId="7AB6ECED" w:rsidR="00BE1E21" w:rsidRPr="00D912D2" w:rsidRDefault="00BE1E21" w:rsidP="00BE1E21">
      <w:pPr>
        <w:spacing w:before="120" w:line="276" w:lineRule="auto"/>
      </w:pPr>
      <w:r w:rsidRPr="00D912D2">
        <w:t xml:space="preserve">Si le bénéficiaire n’a pas fourni toutes les pièces justificatives de la subvention dans un </w:t>
      </w:r>
      <w:r w:rsidRPr="00D912D2">
        <w:rPr>
          <w:b/>
        </w:rPr>
        <w:t>délai de 42 mois, à compter de la dernière date de signature de l’arrêté</w:t>
      </w:r>
      <w:r w:rsidRPr="00D912D2">
        <w:t>, le solde de la subvention sera annulé et la part de l’avance non justifiée éventuellement versée par la Région devra lui être restituée.</w:t>
      </w:r>
    </w:p>
    <w:p w14:paraId="229D9715" w14:textId="22002D72" w:rsidR="00A65A81" w:rsidRPr="00D912D2" w:rsidRDefault="005548CC" w:rsidP="000301AE">
      <w:pPr>
        <w:spacing w:before="120" w:line="276" w:lineRule="auto"/>
        <w:rPr>
          <w:szCs w:val="20"/>
        </w:rPr>
      </w:pPr>
      <w:r w:rsidRPr="00D912D2">
        <w:rPr>
          <w:szCs w:val="20"/>
        </w:rPr>
        <w:t xml:space="preserve">L’intégralité des aides régionales octroyées aux établissements bénéficiaires devra être affectée aux équipes porteuses des projets. N’est donc pas autorisée la ponction, pour frais de gestion ou pour tout autre motif, opérée par l’organisme de tutelle sur les aides régionales, entraînant une utilisation des fonds publics alloués autre que celle définie dans les actes produits par l’administration régionale, qu’elle intervienne </w:t>
      </w:r>
      <w:r w:rsidRPr="00D912D2">
        <w:rPr>
          <w:i/>
          <w:szCs w:val="20"/>
        </w:rPr>
        <w:t>a p</w:t>
      </w:r>
      <w:r w:rsidR="00D91686" w:rsidRPr="00D912D2">
        <w:rPr>
          <w:i/>
          <w:szCs w:val="20"/>
        </w:rPr>
        <w:t>riori</w:t>
      </w:r>
      <w:r w:rsidR="00D91686" w:rsidRPr="00D912D2">
        <w:rPr>
          <w:szCs w:val="20"/>
        </w:rPr>
        <w:t xml:space="preserve"> ou </w:t>
      </w:r>
      <w:r w:rsidR="00D91686" w:rsidRPr="00D912D2">
        <w:rPr>
          <w:i/>
          <w:szCs w:val="20"/>
        </w:rPr>
        <w:t>a posteriori</w:t>
      </w:r>
      <w:r w:rsidR="00D91686" w:rsidRPr="00D912D2">
        <w:rPr>
          <w:szCs w:val="20"/>
        </w:rPr>
        <w:t xml:space="preserve"> de l’acte </w:t>
      </w:r>
      <w:r w:rsidRPr="00D912D2">
        <w:rPr>
          <w:szCs w:val="20"/>
        </w:rPr>
        <w:t>d’allocation.</w:t>
      </w:r>
    </w:p>
    <w:p w14:paraId="7A115AE7" w14:textId="276BBD15" w:rsidR="00CB165D" w:rsidRPr="00D912D2" w:rsidRDefault="00705E53" w:rsidP="004C290B">
      <w:pPr>
        <w:spacing w:before="120" w:line="276" w:lineRule="auto"/>
        <w:rPr>
          <w:szCs w:val="20"/>
        </w:rPr>
      </w:pPr>
      <w:r w:rsidRPr="00D912D2">
        <w:rPr>
          <w:b/>
          <w:szCs w:val="20"/>
        </w:rPr>
        <w:t xml:space="preserve">En cas </w:t>
      </w:r>
      <w:r w:rsidR="00A65BE2" w:rsidRPr="00D912D2">
        <w:rPr>
          <w:b/>
          <w:szCs w:val="20"/>
        </w:rPr>
        <w:t>d’interruption définitive du contrat de travail</w:t>
      </w:r>
      <w:r w:rsidRPr="00D912D2">
        <w:rPr>
          <w:b/>
          <w:szCs w:val="20"/>
        </w:rPr>
        <w:t xml:space="preserve"> </w:t>
      </w:r>
      <w:proofErr w:type="spellStart"/>
      <w:r w:rsidRPr="00D912D2">
        <w:rPr>
          <w:b/>
          <w:szCs w:val="20"/>
        </w:rPr>
        <w:t>du</w:t>
      </w:r>
      <w:r w:rsidR="005C03E4" w:rsidRPr="00D912D2">
        <w:rPr>
          <w:b/>
          <w:szCs w:val="20"/>
        </w:rPr>
        <w:t>·</w:t>
      </w:r>
      <w:r w:rsidRPr="00D912D2">
        <w:rPr>
          <w:b/>
          <w:szCs w:val="20"/>
        </w:rPr>
        <w:t>de</w:t>
      </w:r>
      <w:proofErr w:type="spellEnd"/>
      <w:r w:rsidRPr="00D912D2">
        <w:rPr>
          <w:b/>
          <w:szCs w:val="20"/>
        </w:rPr>
        <w:t xml:space="preserve"> la </w:t>
      </w:r>
      <w:proofErr w:type="spellStart"/>
      <w:r w:rsidRPr="00D912D2">
        <w:rPr>
          <w:b/>
          <w:szCs w:val="20"/>
        </w:rPr>
        <w:t>post-doctorant</w:t>
      </w:r>
      <w:r w:rsidR="005C03E4" w:rsidRPr="00D912D2">
        <w:rPr>
          <w:b/>
          <w:szCs w:val="20"/>
        </w:rPr>
        <w:t>·</w:t>
      </w:r>
      <w:r w:rsidRPr="00D912D2">
        <w:rPr>
          <w:b/>
          <w:szCs w:val="20"/>
        </w:rPr>
        <w:t>e</w:t>
      </w:r>
      <w:proofErr w:type="spellEnd"/>
      <w:r w:rsidRPr="00D912D2">
        <w:rPr>
          <w:b/>
          <w:szCs w:val="20"/>
        </w:rPr>
        <w:t xml:space="preserve"> en cours de projet</w:t>
      </w:r>
      <w:r w:rsidRPr="00D912D2">
        <w:rPr>
          <w:szCs w:val="20"/>
        </w:rPr>
        <w:t xml:space="preserve">, si l’établissement souhaite recruter </w:t>
      </w:r>
      <w:proofErr w:type="spellStart"/>
      <w:r w:rsidRPr="00D912D2">
        <w:rPr>
          <w:szCs w:val="20"/>
        </w:rPr>
        <w:t>un</w:t>
      </w:r>
      <w:r w:rsidR="005C03E4" w:rsidRPr="00D912D2">
        <w:rPr>
          <w:szCs w:val="20"/>
        </w:rPr>
        <w:t>·</w:t>
      </w:r>
      <w:r w:rsidRPr="00D912D2">
        <w:rPr>
          <w:szCs w:val="20"/>
        </w:rPr>
        <w:t>e</w:t>
      </w:r>
      <w:proofErr w:type="spellEnd"/>
      <w:r w:rsidRPr="00D912D2">
        <w:rPr>
          <w:szCs w:val="20"/>
        </w:rPr>
        <w:t xml:space="preserve"> </w:t>
      </w:r>
      <w:proofErr w:type="spellStart"/>
      <w:r w:rsidRPr="00D912D2">
        <w:rPr>
          <w:szCs w:val="20"/>
        </w:rPr>
        <w:t>nouveau</w:t>
      </w:r>
      <w:r w:rsidR="005C03E4" w:rsidRPr="00D912D2">
        <w:rPr>
          <w:szCs w:val="20"/>
        </w:rPr>
        <w:t>·</w:t>
      </w:r>
      <w:r w:rsidRPr="00D912D2">
        <w:rPr>
          <w:szCs w:val="20"/>
        </w:rPr>
        <w:t>lle</w:t>
      </w:r>
      <w:proofErr w:type="spellEnd"/>
      <w:r w:rsidRPr="00D912D2">
        <w:rPr>
          <w:szCs w:val="20"/>
        </w:rPr>
        <w:t xml:space="preserve"> </w:t>
      </w:r>
      <w:proofErr w:type="spellStart"/>
      <w:r w:rsidRPr="00D912D2">
        <w:rPr>
          <w:szCs w:val="20"/>
        </w:rPr>
        <w:t>candidat</w:t>
      </w:r>
      <w:r w:rsidR="005C03E4" w:rsidRPr="00D912D2">
        <w:rPr>
          <w:szCs w:val="20"/>
        </w:rPr>
        <w:t>·</w:t>
      </w:r>
      <w:r w:rsidRPr="00D912D2">
        <w:rPr>
          <w:szCs w:val="20"/>
        </w:rPr>
        <w:t>e</w:t>
      </w:r>
      <w:proofErr w:type="spellEnd"/>
      <w:r w:rsidRPr="00D912D2">
        <w:rPr>
          <w:szCs w:val="20"/>
        </w:rPr>
        <w:t>, le solde de la subvention régionale peut être maintenu</w:t>
      </w:r>
      <w:r w:rsidR="009F4513" w:rsidRPr="00D912D2">
        <w:rPr>
          <w:szCs w:val="20"/>
        </w:rPr>
        <w:t>, sous réserve d’une demande motivée et de l’accord de la Région,</w:t>
      </w:r>
      <w:r w:rsidR="0081747F" w:rsidRPr="00D912D2">
        <w:rPr>
          <w:szCs w:val="20"/>
        </w:rPr>
        <w:t xml:space="preserve"> et</w:t>
      </w:r>
      <w:r w:rsidR="009F4513" w:rsidRPr="00D912D2">
        <w:rPr>
          <w:szCs w:val="20"/>
        </w:rPr>
        <w:t xml:space="preserve"> </w:t>
      </w:r>
      <w:r w:rsidR="0081747F" w:rsidRPr="00D912D2">
        <w:rPr>
          <w:szCs w:val="20"/>
        </w:rPr>
        <w:t>à condition que la durée restante du projet soit supérieure ou égale à 6 mois,</w:t>
      </w:r>
      <w:r w:rsidR="0081747F" w:rsidRPr="00D912D2">
        <w:rPr>
          <w:b/>
          <w:szCs w:val="20"/>
        </w:rPr>
        <w:t xml:space="preserve"> </w:t>
      </w:r>
      <w:r w:rsidR="009F4513" w:rsidRPr="00D912D2">
        <w:rPr>
          <w:szCs w:val="20"/>
        </w:rPr>
        <w:t>et</w:t>
      </w:r>
      <w:r w:rsidRPr="00D912D2">
        <w:rPr>
          <w:szCs w:val="20"/>
        </w:rPr>
        <w:t xml:space="preserve"> </w:t>
      </w:r>
      <w:r w:rsidR="0081747F" w:rsidRPr="00D912D2">
        <w:rPr>
          <w:szCs w:val="20"/>
        </w:rPr>
        <w:t>que</w:t>
      </w:r>
      <w:r w:rsidRPr="00D912D2">
        <w:rPr>
          <w:szCs w:val="20"/>
        </w:rPr>
        <w:t xml:space="preserve"> la personne retenue répond</w:t>
      </w:r>
      <w:r w:rsidR="0081747F" w:rsidRPr="00D912D2">
        <w:rPr>
          <w:szCs w:val="20"/>
        </w:rPr>
        <w:t>e</w:t>
      </w:r>
      <w:r w:rsidRPr="00D912D2">
        <w:rPr>
          <w:szCs w:val="20"/>
        </w:rPr>
        <w:t xml:space="preserve"> aux critères d'éligibilité (</w:t>
      </w:r>
      <w:r w:rsidR="009F4513" w:rsidRPr="00D912D2">
        <w:rPr>
          <w:szCs w:val="20"/>
        </w:rPr>
        <w:t>minimum 18 mois à l’étranger entre le 1</w:t>
      </w:r>
      <w:r w:rsidR="009F4513" w:rsidRPr="00D912D2">
        <w:rPr>
          <w:szCs w:val="20"/>
          <w:vertAlign w:val="superscript"/>
        </w:rPr>
        <w:t>er</w:t>
      </w:r>
      <w:r w:rsidR="001C3F56" w:rsidRPr="00D912D2">
        <w:rPr>
          <w:szCs w:val="20"/>
        </w:rPr>
        <w:t xml:space="preserve"> </w:t>
      </w:r>
      <w:r w:rsidR="009F4513" w:rsidRPr="00D912D2">
        <w:rPr>
          <w:szCs w:val="20"/>
        </w:rPr>
        <w:t xml:space="preserve">mai </w:t>
      </w:r>
      <w:r w:rsidR="006979F4" w:rsidRPr="00D912D2">
        <w:rPr>
          <w:szCs w:val="20"/>
        </w:rPr>
        <w:t>202</w:t>
      </w:r>
      <w:r w:rsidR="003B7F28">
        <w:rPr>
          <w:szCs w:val="20"/>
        </w:rPr>
        <w:t>1</w:t>
      </w:r>
      <w:r w:rsidR="006979F4" w:rsidRPr="00D912D2">
        <w:rPr>
          <w:szCs w:val="20"/>
        </w:rPr>
        <w:t xml:space="preserve"> </w:t>
      </w:r>
      <w:r w:rsidR="009F4513" w:rsidRPr="00D912D2">
        <w:rPr>
          <w:szCs w:val="20"/>
        </w:rPr>
        <w:t xml:space="preserve">et </w:t>
      </w:r>
      <w:r w:rsidR="00BC6E77" w:rsidRPr="00D912D2">
        <w:rPr>
          <w:szCs w:val="20"/>
        </w:rPr>
        <w:t>la date de rupture du premier contrat de travail</w:t>
      </w:r>
      <w:r w:rsidRPr="00D912D2">
        <w:rPr>
          <w:szCs w:val="20"/>
        </w:rPr>
        <w:t>)</w:t>
      </w:r>
      <w:r w:rsidR="009F4513" w:rsidRPr="00D912D2">
        <w:rPr>
          <w:szCs w:val="20"/>
        </w:rPr>
        <w:t>.</w:t>
      </w:r>
    </w:p>
    <w:p w14:paraId="391232F5" w14:textId="30593C1B" w:rsidR="00566F4A" w:rsidRPr="00D912D2" w:rsidRDefault="00566F4A" w:rsidP="004C290B">
      <w:pPr>
        <w:spacing w:before="120" w:line="276" w:lineRule="auto"/>
        <w:rPr>
          <w:szCs w:val="20"/>
        </w:rPr>
      </w:pPr>
    </w:p>
    <w:p w14:paraId="2E0DEFFE" w14:textId="3D5B9C7F" w:rsidR="00A1023A" w:rsidRDefault="00A1023A">
      <w:pPr>
        <w:spacing w:line="240" w:lineRule="auto"/>
        <w:jc w:val="left"/>
        <w:rPr>
          <w:rFonts w:cs="Arial"/>
          <w:color w:val="000000"/>
          <w:szCs w:val="20"/>
          <w:lang w:eastAsia="fr-FR"/>
        </w:rPr>
      </w:pPr>
      <w:r>
        <w:rPr>
          <w:rFonts w:cs="Arial"/>
          <w:color w:val="000000"/>
          <w:szCs w:val="20"/>
          <w:lang w:eastAsia="fr-FR"/>
        </w:rPr>
        <w:br w:type="page"/>
      </w:r>
    </w:p>
    <w:p w14:paraId="67BCBFE2" w14:textId="77777777" w:rsidR="00582D65" w:rsidRPr="00D912D2" w:rsidRDefault="00582D65" w:rsidP="00582D65">
      <w:pPr>
        <w:spacing w:before="120" w:line="240" w:lineRule="auto"/>
        <w:rPr>
          <w:rFonts w:cs="Arial"/>
          <w:color w:val="000000"/>
          <w:szCs w:val="20"/>
          <w:lang w:eastAsia="fr-FR"/>
        </w:rPr>
      </w:pPr>
    </w:p>
    <w:p w14:paraId="4F1A2E6C" w14:textId="77777777" w:rsidR="00582D65" w:rsidRPr="00D912D2" w:rsidRDefault="00582D65" w:rsidP="00582D65">
      <w:pPr>
        <w:pBdr>
          <w:top w:val="single" w:sz="12" w:space="4" w:color="000000"/>
          <w:left w:val="single" w:sz="12" w:space="4" w:color="000000"/>
          <w:bottom w:val="single" w:sz="12" w:space="1" w:color="000000"/>
          <w:right w:val="single" w:sz="12" w:space="4" w:color="000000"/>
        </w:pBdr>
        <w:spacing w:line="240" w:lineRule="auto"/>
        <w:outlineLvl w:val="0"/>
        <w:rPr>
          <w:rFonts w:cs="Times New Roman"/>
          <w:b/>
          <w:bCs/>
          <w:i/>
          <w:iCs/>
          <w:color w:val="000000"/>
          <w:kern w:val="36"/>
          <w:szCs w:val="20"/>
          <w:lang w:eastAsia="fr-FR"/>
        </w:rPr>
      </w:pPr>
      <w:r w:rsidRPr="00D912D2">
        <w:rPr>
          <w:rFonts w:cs="Times New Roman"/>
          <w:b/>
          <w:bCs/>
          <w:i/>
          <w:iCs/>
          <w:color w:val="000000"/>
          <w:kern w:val="36"/>
          <w:szCs w:val="20"/>
          <w:u w:val="single"/>
          <w:lang w:eastAsia="fr-FR"/>
        </w:rPr>
        <w:t>Annexe</w:t>
      </w:r>
      <w:r w:rsidRPr="00D912D2">
        <w:rPr>
          <w:rFonts w:cs="Times New Roman"/>
          <w:b/>
          <w:bCs/>
          <w:i/>
          <w:iCs/>
          <w:color w:val="000000"/>
          <w:kern w:val="36"/>
          <w:szCs w:val="20"/>
          <w:lang w:eastAsia="fr-FR"/>
        </w:rPr>
        <w:t> : Stratégie régionale de recherche et d’innovation (S3) 2021-2027</w:t>
      </w:r>
    </w:p>
    <w:p w14:paraId="3A73BF99" w14:textId="77777777" w:rsidR="00582D65" w:rsidRPr="00D912D2" w:rsidRDefault="00582D65" w:rsidP="00582D65">
      <w:pPr>
        <w:spacing w:line="240" w:lineRule="auto"/>
        <w:rPr>
          <w:rFonts w:cs="Arial"/>
          <w:color w:val="000000"/>
          <w:szCs w:val="20"/>
          <w:lang w:eastAsia="fr-FR"/>
        </w:rPr>
      </w:pPr>
    </w:p>
    <w:p w14:paraId="058A2CAC" w14:textId="77777777" w:rsidR="00582D65" w:rsidRPr="00D27CBE" w:rsidRDefault="00582D65" w:rsidP="00582D65">
      <w:pPr>
        <w:spacing w:line="240" w:lineRule="auto"/>
        <w:outlineLvl w:val="0"/>
        <w:rPr>
          <w:rFonts w:cs="Arial"/>
          <w:color w:val="000000"/>
          <w:szCs w:val="20"/>
          <w:lang w:eastAsia="fr-FR"/>
        </w:rPr>
      </w:pPr>
      <w:r w:rsidRPr="00D27CBE">
        <w:rPr>
          <w:rFonts w:cs="Times New Roman"/>
          <w:b/>
          <w:bCs/>
          <w:iCs/>
          <w:color w:val="000000"/>
          <w:kern w:val="36"/>
          <w:szCs w:val="20"/>
          <w:u w:val="single"/>
          <w:lang w:eastAsia="fr-FR"/>
        </w:rPr>
        <w:t>Domaines d’innovation stratégiques et leviers thématiques</w:t>
      </w:r>
    </w:p>
    <w:p w14:paraId="1E062897" w14:textId="081C0262" w:rsidR="004479E3" w:rsidRPr="00D27CBE" w:rsidRDefault="004479E3" w:rsidP="004479E3">
      <w:pPr>
        <w:spacing w:line="240" w:lineRule="auto"/>
        <w:rPr>
          <w:rFonts w:cs="Arial"/>
          <w:color w:val="000000"/>
          <w:szCs w:val="20"/>
          <w:lang w:eastAsia="fr-FR"/>
        </w:rPr>
      </w:pPr>
    </w:p>
    <w:tbl>
      <w:tblPr>
        <w:tblW w:w="10540" w:type="dxa"/>
        <w:tblCellMar>
          <w:left w:w="70" w:type="dxa"/>
          <w:right w:w="70" w:type="dxa"/>
        </w:tblCellMar>
        <w:tblLook w:val="04A0" w:firstRow="1" w:lastRow="0" w:firstColumn="1" w:lastColumn="0" w:noHBand="0" w:noVBand="1"/>
      </w:tblPr>
      <w:tblGrid>
        <w:gridCol w:w="5380"/>
        <w:gridCol w:w="5160"/>
      </w:tblGrid>
      <w:tr w:rsidR="004479E3" w:rsidRPr="00B40043" w14:paraId="202B7AB4" w14:textId="77777777" w:rsidTr="004479E3">
        <w:trPr>
          <w:trHeight w:val="330"/>
        </w:trPr>
        <w:tc>
          <w:tcPr>
            <w:tcW w:w="10540" w:type="dxa"/>
            <w:gridSpan w:val="2"/>
            <w:vMerge w:val="restart"/>
            <w:tcBorders>
              <w:top w:val="nil"/>
              <w:left w:val="nil"/>
              <w:bottom w:val="nil"/>
              <w:right w:val="nil"/>
            </w:tcBorders>
            <w:shd w:val="clear" w:color="auto" w:fill="auto"/>
            <w:vAlign w:val="center"/>
            <w:hideMark/>
          </w:tcPr>
          <w:p w14:paraId="3804833D" w14:textId="77777777" w:rsidR="004479E3" w:rsidRPr="00B40043" w:rsidRDefault="004479E3" w:rsidP="00D0083F">
            <w:pPr>
              <w:spacing w:line="240" w:lineRule="auto"/>
              <w:ind w:right="-11"/>
              <w:jc w:val="left"/>
              <w:rPr>
                <w:rFonts w:cs="Calibri"/>
                <w:color w:val="000000"/>
                <w:szCs w:val="20"/>
                <w:lang w:eastAsia="fr-FR"/>
              </w:rPr>
            </w:pPr>
            <w:r w:rsidRPr="00B40043">
              <w:rPr>
                <w:rFonts w:cs="Calibri"/>
                <w:color w:val="000000"/>
                <w:szCs w:val="20"/>
                <w:lang w:eastAsia="fr-FR"/>
              </w:rPr>
              <w:t>Un dossier peut être directement rattaché à un, voire deux leviers thématiques (liste liée au DIS) dont un principal rattachant le dossier à son Domaine d’innovation stratégique. Pour rattacher un dossier à un levier thématique principal, il faudra se référer à sa finalité. Le levier thématique secondaire, non obligatoire, représente les moyens technologiques du dossier par exemple.</w:t>
            </w:r>
            <w:r w:rsidRPr="00B40043">
              <w:rPr>
                <w:rFonts w:cs="Calibri"/>
                <w:color w:val="000000"/>
                <w:szCs w:val="20"/>
                <w:lang w:eastAsia="fr-FR"/>
              </w:rPr>
              <w:br/>
              <w:t>On identifie le volet transversal que si le dossier en question peut véritablement s'y rattacher directement en termes d'objectifs. Le volet transversal ne peut pas être qu'une externalité du projet.</w:t>
            </w:r>
          </w:p>
        </w:tc>
      </w:tr>
      <w:tr w:rsidR="004479E3" w:rsidRPr="00D27CBE" w14:paraId="3D825A40" w14:textId="77777777" w:rsidTr="004479E3">
        <w:trPr>
          <w:trHeight w:val="330"/>
        </w:trPr>
        <w:tc>
          <w:tcPr>
            <w:tcW w:w="10540" w:type="dxa"/>
            <w:gridSpan w:val="2"/>
            <w:vMerge/>
            <w:tcBorders>
              <w:top w:val="nil"/>
              <w:left w:val="nil"/>
              <w:bottom w:val="nil"/>
              <w:right w:val="nil"/>
            </w:tcBorders>
            <w:vAlign w:val="center"/>
            <w:hideMark/>
          </w:tcPr>
          <w:p w14:paraId="3F0F0011" w14:textId="77777777" w:rsidR="004479E3" w:rsidRPr="00D0083F" w:rsidRDefault="004479E3" w:rsidP="004479E3">
            <w:pPr>
              <w:spacing w:line="240" w:lineRule="auto"/>
              <w:jc w:val="left"/>
              <w:rPr>
                <w:rFonts w:cs="Calibri"/>
                <w:color w:val="000000"/>
                <w:szCs w:val="20"/>
                <w:lang w:eastAsia="fr-FR"/>
              </w:rPr>
            </w:pPr>
          </w:p>
        </w:tc>
      </w:tr>
      <w:tr w:rsidR="004479E3" w:rsidRPr="00D27CBE" w14:paraId="7654A92D" w14:textId="77777777" w:rsidTr="004479E3">
        <w:trPr>
          <w:trHeight w:val="330"/>
        </w:trPr>
        <w:tc>
          <w:tcPr>
            <w:tcW w:w="10540" w:type="dxa"/>
            <w:gridSpan w:val="2"/>
            <w:vMerge/>
            <w:tcBorders>
              <w:top w:val="nil"/>
              <w:left w:val="nil"/>
              <w:bottom w:val="nil"/>
              <w:right w:val="nil"/>
            </w:tcBorders>
            <w:vAlign w:val="center"/>
            <w:hideMark/>
          </w:tcPr>
          <w:p w14:paraId="4CCD2D6E" w14:textId="77777777" w:rsidR="004479E3" w:rsidRPr="00D0083F" w:rsidRDefault="004479E3" w:rsidP="004479E3">
            <w:pPr>
              <w:spacing w:line="240" w:lineRule="auto"/>
              <w:jc w:val="left"/>
              <w:rPr>
                <w:rFonts w:cs="Calibri"/>
                <w:color w:val="000000"/>
                <w:szCs w:val="20"/>
                <w:lang w:eastAsia="fr-FR"/>
              </w:rPr>
            </w:pPr>
          </w:p>
        </w:tc>
      </w:tr>
      <w:tr w:rsidR="004479E3" w:rsidRPr="00D27CBE" w14:paraId="60B11F1B" w14:textId="77777777" w:rsidTr="004479E3">
        <w:trPr>
          <w:trHeight w:val="1122"/>
        </w:trPr>
        <w:tc>
          <w:tcPr>
            <w:tcW w:w="10540" w:type="dxa"/>
            <w:gridSpan w:val="2"/>
            <w:vMerge/>
            <w:tcBorders>
              <w:top w:val="nil"/>
              <w:left w:val="nil"/>
              <w:bottom w:val="nil"/>
              <w:right w:val="nil"/>
            </w:tcBorders>
            <w:vAlign w:val="center"/>
            <w:hideMark/>
          </w:tcPr>
          <w:p w14:paraId="28EB29D8" w14:textId="77777777" w:rsidR="004479E3" w:rsidRPr="00D0083F" w:rsidRDefault="004479E3" w:rsidP="004479E3">
            <w:pPr>
              <w:spacing w:line="240" w:lineRule="auto"/>
              <w:jc w:val="left"/>
              <w:rPr>
                <w:rFonts w:cs="Calibri"/>
                <w:color w:val="000000"/>
                <w:szCs w:val="20"/>
                <w:lang w:eastAsia="fr-FR"/>
              </w:rPr>
            </w:pPr>
          </w:p>
        </w:tc>
      </w:tr>
      <w:tr w:rsidR="004479E3" w:rsidRPr="00B40043" w14:paraId="4312D047" w14:textId="77777777" w:rsidTr="004479E3">
        <w:trPr>
          <w:trHeight w:val="288"/>
        </w:trPr>
        <w:tc>
          <w:tcPr>
            <w:tcW w:w="10540" w:type="dxa"/>
            <w:gridSpan w:val="2"/>
            <w:tcBorders>
              <w:top w:val="single" w:sz="4" w:space="0" w:color="000000"/>
              <w:left w:val="single" w:sz="4" w:space="0" w:color="auto"/>
              <w:bottom w:val="single" w:sz="4" w:space="0" w:color="000000"/>
              <w:right w:val="single" w:sz="4" w:space="0" w:color="000000"/>
            </w:tcBorders>
            <w:shd w:val="clear" w:color="D9D9D9" w:fill="D9D9D9"/>
            <w:noWrap/>
            <w:vAlign w:val="bottom"/>
            <w:hideMark/>
          </w:tcPr>
          <w:p w14:paraId="06032E45" w14:textId="77777777" w:rsidR="004479E3" w:rsidRPr="00B40043" w:rsidRDefault="004479E3" w:rsidP="004479E3">
            <w:pPr>
              <w:spacing w:line="240" w:lineRule="auto"/>
              <w:jc w:val="center"/>
              <w:rPr>
                <w:rFonts w:cs="Arial"/>
                <w:b/>
                <w:bCs/>
                <w:color w:val="000000"/>
                <w:szCs w:val="20"/>
                <w:lang w:eastAsia="fr-FR"/>
              </w:rPr>
            </w:pPr>
            <w:r w:rsidRPr="00B40043">
              <w:rPr>
                <w:rFonts w:cs="Arial"/>
                <w:b/>
                <w:bCs/>
                <w:color w:val="000000"/>
                <w:szCs w:val="20"/>
                <w:lang w:eastAsia="fr-FR"/>
              </w:rPr>
              <w:t>SUIVI S3</w:t>
            </w:r>
          </w:p>
        </w:tc>
      </w:tr>
      <w:tr w:rsidR="004479E3" w:rsidRPr="00B40043" w14:paraId="372260E6" w14:textId="77777777" w:rsidTr="004479E3">
        <w:trPr>
          <w:trHeight w:val="516"/>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D0B02" w14:textId="77777777" w:rsidR="004479E3" w:rsidRPr="00B40043" w:rsidRDefault="004479E3" w:rsidP="004479E3">
            <w:pPr>
              <w:spacing w:line="240" w:lineRule="auto"/>
              <w:jc w:val="center"/>
              <w:rPr>
                <w:rFonts w:cs="Calibri"/>
                <w:b/>
                <w:bCs/>
                <w:szCs w:val="20"/>
                <w:lang w:eastAsia="fr-FR"/>
              </w:rPr>
            </w:pPr>
            <w:r w:rsidRPr="00B40043">
              <w:rPr>
                <w:rFonts w:cs="Calibri"/>
                <w:b/>
                <w:bCs/>
                <w:szCs w:val="20"/>
                <w:lang w:eastAsia="fr-FR"/>
              </w:rPr>
              <w:t>DOMAINES D'INNOVATION STRATEGIQUES (DIS)</w:t>
            </w:r>
          </w:p>
        </w:tc>
        <w:tc>
          <w:tcPr>
            <w:tcW w:w="5160" w:type="dxa"/>
            <w:tcBorders>
              <w:top w:val="single" w:sz="4" w:space="0" w:color="auto"/>
              <w:left w:val="nil"/>
              <w:bottom w:val="single" w:sz="4" w:space="0" w:color="auto"/>
              <w:right w:val="single" w:sz="4" w:space="0" w:color="auto"/>
            </w:tcBorders>
            <w:shd w:val="clear" w:color="auto" w:fill="auto"/>
            <w:noWrap/>
            <w:vAlign w:val="center"/>
            <w:hideMark/>
          </w:tcPr>
          <w:p w14:paraId="2C2C360D" w14:textId="77777777" w:rsidR="004479E3" w:rsidRPr="00B40043" w:rsidRDefault="004479E3" w:rsidP="004479E3">
            <w:pPr>
              <w:spacing w:line="240" w:lineRule="auto"/>
              <w:jc w:val="center"/>
              <w:rPr>
                <w:rFonts w:cs="Calibri"/>
                <w:b/>
                <w:bCs/>
                <w:szCs w:val="20"/>
                <w:lang w:eastAsia="fr-FR"/>
              </w:rPr>
            </w:pPr>
            <w:r w:rsidRPr="00B40043">
              <w:rPr>
                <w:rFonts w:cs="Calibri"/>
                <w:b/>
                <w:bCs/>
                <w:szCs w:val="20"/>
                <w:lang w:eastAsia="fr-FR"/>
              </w:rPr>
              <w:t xml:space="preserve"> LEVIERS THEMATIQUES </w:t>
            </w:r>
          </w:p>
        </w:tc>
      </w:tr>
      <w:tr w:rsidR="004479E3" w:rsidRPr="00B40043" w14:paraId="38556642" w14:textId="77777777" w:rsidTr="004479E3">
        <w:trPr>
          <w:trHeight w:val="288"/>
        </w:trPr>
        <w:tc>
          <w:tcPr>
            <w:tcW w:w="53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EC18AB"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Economie maritime pour une croissance bleue</w:t>
            </w:r>
          </w:p>
        </w:tc>
        <w:tc>
          <w:tcPr>
            <w:tcW w:w="5160" w:type="dxa"/>
            <w:tcBorders>
              <w:top w:val="nil"/>
              <w:left w:val="nil"/>
              <w:bottom w:val="single" w:sz="4" w:space="0" w:color="auto"/>
              <w:right w:val="single" w:sz="4" w:space="0" w:color="auto"/>
            </w:tcBorders>
            <w:shd w:val="clear" w:color="auto" w:fill="auto"/>
            <w:vAlign w:val="center"/>
            <w:hideMark/>
          </w:tcPr>
          <w:p w14:paraId="487B2C0A"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Energies marines renouvelables</w:t>
            </w:r>
          </w:p>
        </w:tc>
      </w:tr>
      <w:tr w:rsidR="004479E3" w:rsidRPr="00B40043" w14:paraId="1C1F9C63" w14:textId="77777777" w:rsidTr="004479E3">
        <w:trPr>
          <w:trHeight w:val="288"/>
        </w:trPr>
        <w:tc>
          <w:tcPr>
            <w:tcW w:w="5380" w:type="dxa"/>
            <w:vMerge/>
            <w:tcBorders>
              <w:top w:val="single" w:sz="4" w:space="0" w:color="auto"/>
              <w:left w:val="single" w:sz="4" w:space="0" w:color="auto"/>
              <w:bottom w:val="single" w:sz="4" w:space="0" w:color="000000"/>
              <w:right w:val="single" w:sz="4" w:space="0" w:color="000000"/>
            </w:tcBorders>
            <w:vAlign w:val="center"/>
            <w:hideMark/>
          </w:tcPr>
          <w:p w14:paraId="3F40B7A9"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vAlign w:val="bottom"/>
            <w:hideMark/>
          </w:tcPr>
          <w:p w14:paraId="30D2A563" w14:textId="77777777" w:rsidR="004479E3" w:rsidRPr="00B40043" w:rsidRDefault="004479E3" w:rsidP="004479E3">
            <w:pPr>
              <w:spacing w:line="240" w:lineRule="auto"/>
              <w:jc w:val="left"/>
              <w:rPr>
                <w:rFonts w:cs="Arial"/>
                <w:szCs w:val="20"/>
                <w:lang w:eastAsia="fr-FR"/>
              </w:rPr>
            </w:pPr>
            <w:proofErr w:type="spellStart"/>
            <w:r w:rsidRPr="00B40043">
              <w:rPr>
                <w:rFonts w:cs="Arial"/>
                <w:szCs w:val="20"/>
                <w:lang w:eastAsia="fr-FR"/>
              </w:rPr>
              <w:t>Bioressources</w:t>
            </w:r>
            <w:proofErr w:type="spellEnd"/>
            <w:r w:rsidRPr="00B40043">
              <w:rPr>
                <w:rFonts w:cs="Arial"/>
                <w:szCs w:val="20"/>
                <w:lang w:eastAsia="fr-FR"/>
              </w:rPr>
              <w:t xml:space="preserve"> et biotechnologies marines</w:t>
            </w:r>
          </w:p>
        </w:tc>
      </w:tr>
      <w:tr w:rsidR="004479E3" w:rsidRPr="00B40043" w14:paraId="079FD3AA" w14:textId="77777777" w:rsidTr="004479E3">
        <w:trPr>
          <w:trHeight w:val="288"/>
        </w:trPr>
        <w:tc>
          <w:tcPr>
            <w:tcW w:w="5380" w:type="dxa"/>
            <w:vMerge/>
            <w:tcBorders>
              <w:top w:val="single" w:sz="4" w:space="0" w:color="auto"/>
              <w:left w:val="single" w:sz="4" w:space="0" w:color="auto"/>
              <w:bottom w:val="single" w:sz="4" w:space="0" w:color="000000"/>
              <w:right w:val="single" w:sz="4" w:space="0" w:color="000000"/>
            </w:tcBorders>
            <w:vAlign w:val="center"/>
            <w:hideMark/>
          </w:tcPr>
          <w:p w14:paraId="03BF3824"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59D97D11"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Navires du futur</w:t>
            </w:r>
          </w:p>
        </w:tc>
      </w:tr>
      <w:tr w:rsidR="004479E3" w:rsidRPr="00B40043" w14:paraId="72CED33F" w14:textId="77777777" w:rsidTr="004479E3">
        <w:trPr>
          <w:trHeight w:val="288"/>
        </w:trPr>
        <w:tc>
          <w:tcPr>
            <w:tcW w:w="5380" w:type="dxa"/>
            <w:vMerge/>
            <w:tcBorders>
              <w:top w:val="single" w:sz="4" w:space="0" w:color="auto"/>
              <w:left w:val="single" w:sz="4" w:space="0" w:color="auto"/>
              <w:bottom w:val="single" w:sz="4" w:space="0" w:color="000000"/>
              <w:right w:val="single" w:sz="4" w:space="0" w:color="000000"/>
            </w:tcBorders>
            <w:vAlign w:val="center"/>
            <w:hideMark/>
          </w:tcPr>
          <w:p w14:paraId="1987D61C"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0B2DB03D"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Ports, logistique et transports maritimes</w:t>
            </w:r>
          </w:p>
        </w:tc>
      </w:tr>
      <w:tr w:rsidR="004479E3" w:rsidRPr="00B40043" w14:paraId="4EBEE915" w14:textId="77777777" w:rsidTr="004479E3">
        <w:trPr>
          <w:trHeight w:val="288"/>
        </w:trPr>
        <w:tc>
          <w:tcPr>
            <w:tcW w:w="5380" w:type="dxa"/>
            <w:vMerge/>
            <w:tcBorders>
              <w:top w:val="single" w:sz="4" w:space="0" w:color="auto"/>
              <w:left w:val="single" w:sz="4" w:space="0" w:color="auto"/>
              <w:bottom w:val="single" w:sz="4" w:space="0" w:color="000000"/>
              <w:right w:val="single" w:sz="4" w:space="0" w:color="000000"/>
            </w:tcBorders>
            <w:vAlign w:val="center"/>
            <w:hideMark/>
          </w:tcPr>
          <w:p w14:paraId="038B15D8"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09D1BFFC"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Sécurité maritime</w:t>
            </w:r>
          </w:p>
        </w:tc>
      </w:tr>
      <w:tr w:rsidR="004479E3" w:rsidRPr="00B40043" w14:paraId="0C19267A" w14:textId="77777777" w:rsidTr="00D0083F">
        <w:trPr>
          <w:trHeight w:val="395"/>
        </w:trPr>
        <w:tc>
          <w:tcPr>
            <w:tcW w:w="5380" w:type="dxa"/>
            <w:vMerge/>
            <w:tcBorders>
              <w:top w:val="single" w:sz="4" w:space="0" w:color="auto"/>
              <w:left w:val="single" w:sz="4" w:space="0" w:color="auto"/>
              <w:bottom w:val="single" w:sz="4" w:space="0" w:color="000000"/>
              <w:right w:val="single" w:sz="4" w:space="0" w:color="000000"/>
            </w:tcBorders>
            <w:vAlign w:val="center"/>
            <w:hideMark/>
          </w:tcPr>
          <w:p w14:paraId="0D00AFDC"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vAlign w:val="bottom"/>
            <w:hideMark/>
          </w:tcPr>
          <w:p w14:paraId="6E674D9B"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Environnement, santé des océans et gestion du littoral</w:t>
            </w:r>
          </w:p>
        </w:tc>
      </w:tr>
      <w:tr w:rsidR="004479E3" w:rsidRPr="00B40043" w14:paraId="0C4A7BC6" w14:textId="77777777" w:rsidTr="004479E3">
        <w:trPr>
          <w:trHeight w:val="288"/>
        </w:trPr>
        <w:tc>
          <w:tcPr>
            <w:tcW w:w="53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E5D0D7"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Economie alimentaire du bien manger pour tous</w:t>
            </w:r>
          </w:p>
        </w:tc>
        <w:tc>
          <w:tcPr>
            <w:tcW w:w="5160" w:type="dxa"/>
            <w:tcBorders>
              <w:top w:val="nil"/>
              <w:left w:val="nil"/>
              <w:bottom w:val="single" w:sz="4" w:space="0" w:color="auto"/>
              <w:right w:val="single" w:sz="4" w:space="0" w:color="auto"/>
            </w:tcBorders>
            <w:shd w:val="clear" w:color="auto" w:fill="auto"/>
            <w:noWrap/>
            <w:vAlign w:val="bottom"/>
            <w:hideMark/>
          </w:tcPr>
          <w:p w14:paraId="7A899C9F"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Nouveaux systèmes de production agricole</w:t>
            </w:r>
          </w:p>
        </w:tc>
      </w:tr>
      <w:tr w:rsidR="004479E3" w:rsidRPr="00B40043" w14:paraId="09C491F7" w14:textId="77777777" w:rsidTr="004479E3">
        <w:trPr>
          <w:trHeight w:val="288"/>
        </w:trPr>
        <w:tc>
          <w:tcPr>
            <w:tcW w:w="5380" w:type="dxa"/>
            <w:vMerge/>
            <w:tcBorders>
              <w:top w:val="single" w:sz="4" w:space="0" w:color="auto"/>
              <w:left w:val="single" w:sz="4" w:space="0" w:color="auto"/>
              <w:bottom w:val="single" w:sz="4" w:space="0" w:color="000000"/>
              <w:right w:val="single" w:sz="4" w:space="0" w:color="000000"/>
            </w:tcBorders>
            <w:vAlign w:val="center"/>
            <w:hideMark/>
          </w:tcPr>
          <w:p w14:paraId="207AFFB9"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29B116CD"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Agriculture de précision</w:t>
            </w:r>
          </w:p>
        </w:tc>
      </w:tr>
      <w:tr w:rsidR="004479E3" w:rsidRPr="00B40043" w14:paraId="124171A0" w14:textId="77777777" w:rsidTr="004479E3">
        <w:trPr>
          <w:trHeight w:val="288"/>
        </w:trPr>
        <w:tc>
          <w:tcPr>
            <w:tcW w:w="5380" w:type="dxa"/>
            <w:vMerge/>
            <w:tcBorders>
              <w:top w:val="single" w:sz="4" w:space="0" w:color="auto"/>
              <w:left w:val="single" w:sz="4" w:space="0" w:color="auto"/>
              <w:bottom w:val="single" w:sz="4" w:space="0" w:color="000000"/>
              <w:right w:val="single" w:sz="4" w:space="0" w:color="000000"/>
            </w:tcBorders>
            <w:vAlign w:val="center"/>
            <w:hideMark/>
          </w:tcPr>
          <w:p w14:paraId="55205BE3"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55720548"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Consommation de demain</w:t>
            </w:r>
          </w:p>
        </w:tc>
      </w:tr>
      <w:tr w:rsidR="004479E3" w:rsidRPr="00B40043" w14:paraId="229EA375" w14:textId="77777777" w:rsidTr="004479E3">
        <w:trPr>
          <w:trHeight w:val="288"/>
        </w:trPr>
        <w:tc>
          <w:tcPr>
            <w:tcW w:w="5380" w:type="dxa"/>
            <w:vMerge/>
            <w:tcBorders>
              <w:top w:val="single" w:sz="4" w:space="0" w:color="auto"/>
              <w:left w:val="single" w:sz="4" w:space="0" w:color="auto"/>
              <w:bottom w:val="single" w:sz="4" w:space="0" w:color="000000"/>
              <w:right w:val="single" w:sz="4" w:space="0" w:color="000000"/>
            </w:tcBorders>
            <w:vAlign w:val="center"/>
            <w:hideMark/>
          </w:tcPr>
          <w:p w14:paraId="73B0D220"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617A0F02"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Usine agro. du futur</w:t>
            </w:r>
          </w:p>
        </w:tc>
      </w:tr>
      <w:tr w:rsidR="004479E3" w:rsidRPr="00B40043" w14:paraId="7D1BDE32" w14:textId="77777777" w:rsidTr="004479E3">
        <w:trPr>
          <w:trHeight w:val="288"/>
        </w:trPr>
        <w:tc>
          <w:tcPr>
            <w:tcW w:w="5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9047"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Economie numérique sécurisée et responsable</w:t>
            </w:r>
          </w:p>
        </w:tc>
        <w:tc>
          <w:tcPr>
            <w:tcW w:w="5160" w:type="dxa"/>
            <w:tcBorders>
              <w:top w:val="nil"/>
              <w:left w:val="nil"/>
              <w:bottom w:val="single" w:sz="4" w:space="0" w:color="auto"/>
              <w:right w:val="single" w:sz="4" w:space="0" w:color="auto"/>
            </w:tcBorders>
            <w:shd w:val="clear" w:color="auto" w:fill="auto"/>
            <w:noWrap/>
            <w:vAlign w:val="bottom"/>
            <w:hideMark/>
          </w:tcPr>
          <w:p w14:paraId="6038C64A" w14:textId="77777777" w:rsidR="004479E3" w:rsidRPr="00B40043" w:rsidRDefault="004479E3" w:rsidP="004479E3">
            <w:pPr>
              <w:spacing w:line="240" w:lineRule="auto"/>
              <w:jc w:val="left"/>
              <w:rPr>
                <w:rFonts w:cs="Arial"/>
                <w:szCs w:val="20"/>
                <w:lang w:eastAsia="fr-FR"/>
              </w:rPr>
            </w:pPr>
            <w:proofErr w:type="spellStart"/>
            <w:r w:rsidRPr="00B40043">
              <w:rPr>
                <w:rFonts w:cs="Arial"/>
                <w:szCs w:val="20"/>
                <w:lang w:eastAsia="fr-FR"/>
              </w:rPr>
              <w:t>Cybersécurité</w:t>
            </w:r>
            <w:proofErr w:type="spellEnd"/>
          </w:p>
        </w:tc>
      </w:tr>
      <w:tr w:rsidR="004479E3" w:rsidRPr="00B40043" w14:paraId="3520CBAA" w14:textId="77777777" w:rsidTr="004479E3">
        <w:trPr>
          <w:trHeight w:val="282"/>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312811C9"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693F1BF7"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Electronique</w:t>
            </w:r>
          </w:p>
        </w:tc>
      </w:tr>
      <w:tr w:rsidR="004479E3" w:rsidRPr="00B40043" w14:paraId="53AEAE99"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4632190A"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0AF77E23"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Photonique</w:t>
            </w:r>
          </w:p>
        </w:tc>
      </w:tr>
      <w:tr w:rsidR="004479E3" w:rsidRPr="00B40043" w14:paraId="6EB802AD"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6F6D1206"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46596657"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Données et intelligence</w:t>
            </w:r>
          </w:p>
        </w:tc>
      </w:tr>
      <w:tr w:rsidR="004479E3" w:rsidRPr="00B40043" w14:paraId="03EC1178"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244B9658"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02D36C3D"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 xml:space="preserve">Images et contenus / Réseaux et </w:t>
            </w:r>
            <w:proofErr w:type="spellStart"/>
            <w:r w:rsidRPr="00B40043">
              <w:rPr>
                <w:rFonts w:cs="Arial"/>
                <w:szCs w:val="20"/>
                <w:lang w:eastAsia="fr-FR"/>
              </w:rPr>
              <w:t>IoT</w:t>
            </w:r>
            <w:proofErr w:type="spellEnd"/>
          </w:p>
        </w:tc>
      </w:tr>
      <w:tr w:rsidR="004479E3" w:rsidRPr="00B40043" w14:paraId="5046FC3A"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1266C9A5"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0C526706"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Spatial</w:t>
            </w:r>
          </w:p>
        </w:tc>
      </w:tr>
      <w:tr w:rsidR="004479E3" w:rsidRPr="00B40043" w14:paraId="66A0E422"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4E471140"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176DB40C"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Technologie numérique sobres et responsables</w:t>
            </w:r>
          </w:p>
        </w:tc>
      </w:tr>
      <w:tr w:rsidR="004479E3" w:rsidRPr="00B40043" w14:paraId="67E41F97" w14:textId="77777777" w:rsidTr="004479E3">
        <w:trPr>
          <w:trHeight w:val="288"/>
        </w:trPr>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CD9E6"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Economie de la santé et du bien-être pour une meilleure qualité de vie</w:t>
            </w:r>
          </w:p>
        </w:tc>
        <w:tc>
          <w:tcPr>
            <w:tcW w:w="5160" w:type="dxa"/>
            <w:tcBorders>
              <w:top w:val="nil"/>
              <w:left w:val="nil"/>
              <w:bottom w:val="single" w:sz="4" w:space="0" w:color="auto"/>
              <w:right w:val="single" w:sz="4" w:space="0" w:color="auto"/>
            </w:tcBorders>
            <w:shd w:val="clear" w:color="auto" w:fill="auto"/>
            <w:noWrap/>
            <w:vAlign w:val="bottom"/>
            <w:hideMark/>
          </w:tcPr>
          <w:p w14:paraId="16201576"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Technologies pour la santé</w:t>
            </w:r>
          </w:p>
        </w:tc>
      </w:tr>
      <w:tr w:rsidR="004479E3" w:rsidRPr="00B40043" w14:paraId="3D2828C3"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359CC7E3"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5AAD15BF"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(Bio)Thérapies innovantes</w:t>
            </w:r>
          </w:p>
        </w:tc>
      </w:tr>
      <w:tr w:rsidR="004479E3" w:rsidRPr="00B40043" w14:paraId="3215D612"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48B09BA7"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3A503534"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Prévention - nutrition - environnement - travail</w:t>
            </w:r>
          </w:p>
        </w:tc>
      </w:tr>
      <w:tr w:rsidR="004479E3" w:rsidRPr="00B40043" w14:paraId="57E855E0"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0AC243A3"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59A9888C"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Handicap</w:t>
            </w:r>
          </w:p>
        </w:tc>
      </w:tr>
      <w:tr w:rsidR="004479E3" w:rsidRPr="00B40043" w14:paraId="3CD4873A"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07334540"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54F457AE"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Bien vieillir</w:t>
            </w:r>
          </w:p>
        </w:tc>
      </w:tr>
      <w:tr w:rsidR="004479E3" w:rsidRPr="00B40043" w14:paraId="2B0D99A0" w14:textId="77777777" w:rsidTr="00D0083F">
        <w:trPr>
          <w:trHeight w:val="341"/>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40548DD1"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06D16B4A"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Cosmétique</w:t>
            </w:r>
          </w:p>
        </w:tc>
      </w:tr>
      <w:tr w:rsidR="004479E3" w:rsidRPr="00B40043" w14:paraId="0BFB9FD2" w14:textId="77777777" w:rsidTr="004479E3">
        <w:trPr>
          <w:trHeight w:val="288"/>
        </w:trPr>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B5B41"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Economie de l'industrie pour une production intelligente</w:t>
            </w:r>
          </w:p>
        </w:tc>
        <w:tc>
          <w:tcPr>
            <w:tcW w:w="5160" w:type="dxa"/>
            <w:tcBorders>
              <w:top w:val="nil"/>
              <w:left w:val="nil"/>
              <w:bottom w:val="single" w:sz="4" w:space="0" w:color="auto"/>
              <w:right w:val="single" w:sz="4" w:space="0" w:color="auto"/>
            </w:tcBorders>
            <w:shd w:val="clear" w:color="auto" w:fill="auto"/>
            <w:noWrap/>
            <w:vAlign w:val="bottom"/>
            <w:hideMark/>
          </w:tcPr>
          <w:p w14:paraId="6B789511"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Matériaux</w:t>
            </w:r>
          </w:p>
        </w:tc>
      </w:tr>
      <w:tr w:rsidR="004479E3" w:rsidRPr="00B40043" w14:paraId="2C168594" w14:textId="77777777" w:rsidTr="004479E3">
        <w:trPr>
          <w:trHeight w:val="564"/>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4F2EEB78"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vAlign w:val="bottom"/>
            <w:hideMark/>
          </w:tcPr>
          <w:p w14:paraId="560C2C90"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Technologie liées à la production industrielle et technologies de production</w:t>
            </w:r>
          </w:p>
        </w:tc>
      </w:tr>
      <w:tr w:rsidR="004479E3" w:rsidRPr="00B40043" w14:paraId="3ECB70A6"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770F3C81"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1E91147B"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Energies</w:t>
            </w:r>
          </w:p>
        </w:tc>
      </w:tr>
      <w:tr w:rsidR="004479E3" w:rsidRPr="00B40043" w14:paraId="657D1EC9"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1DAD7277"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220CF0C3"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Industrie des mobilités</w:t>
            </w:r>
          </w:p>
        </w:tc>
      </w:tr>
      <w:tr w:rsidR="004479E3" w:rsidRPr="00B40043" w14:paraId="1F5767E0" w14:textId="77777777" w:rsidTr="00D0083F">
        <w:trPr>
          <w:trHeight w:val="36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0C12FCD5"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4F7A3BDD"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L'humain dans l'industrie et usages</w:t>
            </w:r>
          </w:p>
        </w:tc>
      </w:tr>
      <w:tr w:rsidR="004479E3" w:rsidRPr="00B40043" w14:paraId="5BCE6154" w14:textId="77777777" w:rsidTr="004479E3">
        <w:trPr>
          <w:trHeight w:val="444"/>
        </w:trPr>
        <w:tc>
          <w:tcPr>
            <w:tcW w:w="5380" w:type="dxa"/>
            <w:tcBorders>
              <w:top w:val="nil"/>
              <w:left w:val="single" w:sz="4" w:space="0" w:color="auto"/>
              <w:bottom w:val="nil"/>
              <w:right w:val="nil"/>
            </w:tcBorders>
            <w:shd w:val="clear" w:color="auto" w:fill="auto"/>
            <w:noWrap/>
            <w:vAlign w:val="center"/>
            <w:hideMark/>
          </w:tcPr>
          <w:p w14:paraId="7738C700" w14:textId="77777777" w:rsidR="004479E3" w:rsidRPr="00B40043" w:rsidRDefault="004479E3" w:rsidP="004479E3">
            <w:pPr>
              <w:spacing w:line="240" w:lineRule="auto"/>
              <w:jc w:val="center"/>
              <w:rPr>
                <w:rFonts w:cs="Calibri"/>
                <w:b/>
                <w:bCs/>
                <w:szCs w:val="20"/>
                <w:lang w:eastAsia="fr-FR"/>
              </w:rPr>
            </w:pPr>
            <w:r w:rsidRPr="00B40043">
              <w:rPr>
                <w:rFonts w:cs="Calibri"/>
                <w:b/>
                <w:bCs/>
                <w:szCs w:val="20"/>
                <w:lang w:eastAsia="fr-FR"/>
              </w:rPr>
              <w:lastRenderedPageBreak/>
              <w:t xml:space="preserve">AXE TRANSVERSAL </w:t>
            </w:r>
          </w:p>
        </w:tc>
        <w:tc>
          <w:tcPr>
            <w:tcW w:w="5160" w:type="dxa"/>
            <w:tcBorders>
              <w:top w:val="nil"/>
              <w:left w:val="single" w:sz="4" w:space="0" w:color="auto"/>
              <w:bottom w:val="single" w:sz="4" w:space="0" w:color="auto"/>
              <w:right w:val="single" w:sz="4" w:space="0" w:color="auto"/>
            </w:tcBorders>
            <w:shd w:val="clear" w:color="auto" w:fill="auto"/>
            <w:noWrap/>
            <w:vAlign w:val="center"/>
            <w:hideMark/>
          </w:tcPr>
          <w:p w14:paraId="583747E8" w14:textId="77777777" w:rsidR="004479E3" w:rsidRPr="00B40043" w:rsidRDefault="004479E3" w:rsidP="004479E3">
            <w:pPr>
              <w:spacing w:line="240" w:lineRule="auto"/>
              <w:jc w:val="center"/>
              <w:rPr>
                <w:rFonts w:cs="Calibri"/>
                <w:b/>
                <w:bCs/>
                <w:szCs w:val="20"/>
                <w:lang w:eastAsia="fr-FR"/>
              </w:rPr>
            </w:pPr>
            <w:r w:rsidRPr="00B40043">
              <w:rPr>
                <w:rFonts w:cs="Calibri"/>
                <w:b/>
                <w:bCs/>
                <w:szCs w:val="20"/>
                <w:lang w:eastAsia="fr-FR"/>
              </w:rPr>
              <w:t xml:space="preserve"> LEVIERS THEMATIQUES </w:t>
            </w:r>
          </w:p>
        </w:tc>
      </w:tr>
      <w:tr w:rsidR="004479E3" w:rsidRPr="00B40043" w14:paraId="24E1EC1F" w14:textId="77777777" w:rsidTr="004479E3">
        <w:trPr>
          <w:trHeight w:val="288"/>
        </w:trPr>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8A963" w14:textId="3B1A9012" w:rsidR="004479E3" w:rsidRPr="00B40043" w:rsidRDefault="004479E3" w:rsidP="00F11973">
            <w:pPr>
              <w:spacing w:line="240" w:lineRule="auto"/>
              <w:jc w:val="left"/>
              <w:rPr>
                <w:rFonts w:cs="Arial"/>
                <w:szCs w:val="20"/>
                <w:lang w:eastAsia="fr-FR"/>
              </w:rPr>
            </w:pPr>
            <w:r w:rsidRPr="00B40043">
              <w:rPr>
                <w:rFonts w:cs="Arial"/>
                <w:szCs w:val="20"/>
                <w:lang w:eastAsia="fr-FR"/>
              </w:rPr>
              <w:t xml:space="preserve">Transitions </w:t>
            </w:r>
            <w:r w:rsidR="00F11973">
              <w:rPr>
                <w:rFonts w:cs="Arial"/>
                <w:szCs w:val="20"/>
                <w:lang w:eastAsia="fr-FR"/>
              </w:rPr>
              <w:t xml:space="preserve">climatique et écologique </w:t>
            </w:r>
          </w:p>
        </w:tc>
        <w:tc>
          <w:tcPr>
            <w:tcW w:w="5160" w:type="dxa"/>
            <w:tcBorders>
              <w:top w:val="nil"/>
              <w:left w:val="nil"/>
              <w:bottom w:val="single" w:sz="4" w:space="0" w:color="auto"/>
              <w:right w:val="single" w:sz="4" w:space="0" w:color="auto"/>
            </w:tcBorders>
            <w:shd w:val="clear" w:color="auto" w:fill="auto"/>
            <w:noWrap/>
            <w:vAlign w:val="bottom"/>
            <w:hideMark/>
          </w:tcPr>
          <w:p w14:paraId="0B06F497"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Adaptation au changement climatique</w:t>
            </w:r>
          </w:p>
        </w:tc>
      </w:tr>
      <w:tr w:rsidR="004479E3" w:rsidRPr="00B40043" w14:paraId="29116C36"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0A2C1BA2"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592CDC6F"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Atténuation/</w:t>
            </w:r>
            <w:proofErr w:type="spellStart"/>
            <w:r w:rsidRPr="00B40043">
              <w:rPr>
                <w:rFonts w:cs="Arial"/>
                <w:szCs w:val="20"/>
                <w:lang w:eastAsia="fr-FR"/>
              </w:rPr>
              <w:t>décarbonation</w:t>
            </w:r>
            <w:proofErr w:type="spellEnd"/>
            <w:r w:rsidRPr="00B40043">
              <w:rPr>
                <w:rFonts w:cs="Arial"/>
                <w:szCs w:val="20"/>
                <w:lang w:eastAsia="fr-FR"/>
              </w:rPr>
              <w:t xml:space="preserve"> et ENR</w:t>
            </w:r>
          </w:p>
        </w:tc>
      </w:tr>
      <w:tr w:rsidR="004479E3" w:rsidRPr="00B40043" w14:paraId="419BFF5F"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1C711DF3"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hideMark/>
          </w:tcPr>
          <w:p w14:paraId="3A96ADF2"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Economie circulaire et innovations frugales</w:t>
            </w:r>
          </w:p>
        </w:tc>
      </w:tr>
      <w:tr w:rsidR="004479E3" w:rsidRPr="00B40043" w14:paraId="5F5ADCB0"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18A0ACEA"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671658D5"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Eau</w:t>
            </w:r>
          </w:p>
        </w:tc>
      </w:tr>
      <w:tr w:rsidR="004479E3" w:rsidRPr="00B40043" w14:paraId="152242DC"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3BD128B3"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62132FEB"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Biodiversité</w:t>
            </w:r>
          </w:p>
        </w:tc>
      </w:tr>
      <w:tr w:rsidR="004479E3" w:rsidRPr="00B40043" w14:paraId="11904397" w14:textId="77777777" w:rsidTr="004479E3">
        <w:trPr>
          <w:trHeight w:val="288"/>
        </w:trPr>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BA865"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Cohésion et inclusion sociale</w:t>
            </w:r>
          </w:p>
        </w:tc>
        <w:tc>
          <w:tcPr>
            <w:tcW w:w="5160" w:type="dxa"/>
            <w:tcBorders>
              <w:top w:val="nil"/>
              <w:left w:val="nil"/>
              <w:bottom w:val="single" w:sz="4" w:space="0" w:color="auto"/>
              <w:right w:val="single" w:sz="4" w:space="0" w:color="auto"/>
            </w:tcBorders>
            <w:shd w:val="clear" w:color="auto" w:fill="auto"/>
            <w:noWrap/>
            <w:vAlign w:val="bottom"/>
            <w:hideMark/>
          </w:tcPr>
          <w:p w14:paraId="6328068D"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Dialogue science/société</w:t>
            </w:r>
          </w:p>
        </w:tc>
      </w:tr>
      <w:tr w:rsidR="004479E3" w:rsidRPr="00B40043" w14:paraId="75C970B0"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667DAEB3"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7EA407BA"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Jeunesse et vie étudiante</w:t>
            </w:r>
          </w:p>
        </w:tc>
      </w:tr>
      <w:tr w:rsidR="004479E3" w:rsidRPr="00B40043" w14:paraId="28D57524"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4BF51589"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1447FD84"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Culture</w:t>
            </w:r>
          </w:p>
        </w:tc>
      </w:tr>
      <w:tr w:rsidR="004479E3" w:rsidRPr="00B40043" w14:paraId="26F1FEF8" w14:textId="77777777" w:rsidTr="004479E3">
        <w:trPr>
          <w:trHeight w:val="288"/>
        </w:trPr>
        <w:tc>
          <w:tcPr>
            <w:tcW w:w="5380" w:type="dxa"/>
            <w:vMerge/>
            <w:tcBorders>
              <w:top w:val="single" w:sz="4" w:space="0" w:color="auto"/>
              <w:left w:val="single" w:sz="4" w:space="0" w:color="auto"/>
              <w:bottom w:val="single" w:sz="4" w:space="0" w:color="auto"/>
              <w:right w:val="single" w:sz="4" w:space="0" w:color="auto"/>
            </w:tcBorders>
            <w:vAlign w:val="center"/>
            <w:hideMark/>
          </w:tcPr>
          <w:p w14:paraId="1FFBA4CC" w14:textId="77777777" w:rsidR="004479E3" w:rsidRPr="00B40043" w:rsidRDefault="004479E3" w:rsidP="004479E3">
            <w:pPr>
              <w:spacing w:line="240" w:lineRule="auto"/>
              <w:jc w:val="left"/>
              <w:rPr>
                <w:rFonts w:cs="Arial"/>
                <w:szCs w:val="20"/>
                <w:lang w:eastAsia="fr-FR"/>
              </w:rPr>
            </w:pPr>
          </w:p>
        </w:tc>
        <w:tc>
          <w:tcPr>
            <w:tcW w:w="5160" w:type="dxa"/>
            <w:tcBorders>
              <w:top w:val="nil"/>
              <w:left w:val="nil"/>
              <w:bottom w:val="single" w:sz="4" w:space="0" w:color="auto"/>
              <w:right w:val="single" w:sz="4" w:space="0" w:color="auto"/>
            </w:tcBorders>
            <w:shd w:val="clear" w:color="auto" w:fill="auto"/>
            <w:noWrap/>
            <w:vAlign w:val="bottom"/>
            <w:hideMark/>
          </w:tcPr>
          <w:p w14:paraId="13EDDADD" w14:textId="77777777" w:rsidR="004479E3" w:rsidRPr="00B40043" w:rsidRDefault="004479E3" w:rsidP="004479E3">
            <w:pPr>
              <w:spacing w:line="240" w:lineRule="auto"/>
              <w:jc w:val="left"/>
              <w:rPr>
                <w:rFonts w:cs="Arial"/>
                <w:szCs w:val="20"/>
                <w:lang w:eastAsia="fr-FR"/>
              </w:rPr>
            </w:pPr>
            <w:r w:rsidRPr="00B40043">
              <w:rPr>
                <w:rFonts w:cs="Arial"/>
                <w:szCs w:val="20"/>
                <w:lang w:eastAsia="fr-FR"/>
              </w:rPr>
              <w:t>Egalité et inclusion</w:t>
            </w:r>
          </w:p>
        </w:tc>
      </w:tr>
    </w:tbl>
    <w:p w14:paraId="35942ADD" w14:textId="77777777" w:rsidR="004479E3" w:rsidRPr="00D912D2" w:rsidRDefault="004479E3" w:rsidP="00A1023A">
      <w:pPr>
        <w:spacing w:line="240" w:lineRule="auto"/>
        <w:rPr>
          <w:rFonts w:cs="Arial"/>
          <w:color w:val="000000"/>
          <w:szCs w:val="20"/>
          <w:lang w:eastAsia="fr-FR"/>
        </w:rPr>
        <w:sectPr w:rsidR="004479E3" w:rsidRPr="00D912D2" w:rsidSect="00D27CBE">
          <w:footerReference w:type="default" r:id="rId12"/>
          <w:headerReference w:type="first" r:id="rId13"/>
          <w:footerReference w:type="first" r:id="rId14"/>
          <w:pgSz w:w="11906" w:h="16838" w:code="9"/>
          <w:pgMar w:top="1134" w:right="425" w:bottom="567" w:left="567" w:header="851" w:footer="414" w:gutter="0"/>
          <w:cols w:space="708"/>
          <w:titlePg/>
          <w:docGrid w:linePitch="360"/>
        </w:sectPr>
      </w:pPr>
    </w:p>
    <w:p w14:paraId="0924C11D" w14:textId="77777777" w:rsidR="00582D65" w:rsidRPr="00D912D2" w:rsidRDefault="00582D65" w:rsidP="00615370">
      <w:pPr>
        <w:tabs>
          <w:tab w:val="left" w:pos="5700"/>
          <w:tab w:val="right" w:pos="9072"/>
        </w:tabs>
        <w:spacing w:before="120" w:after="120" w:line="276" w:lineRule="auto"/>
      </w:pPr>
    </w:p>
    <w:sectPr w:rsidR="00582D65" w:rsidRPr="00D912D2" w:rsidSect="00615370">
      <w:headerReference w:type="default" r:id="rId15"/>
      <w:footerReference w:type="default" r:id="rId16"/>
      <w:headerReference w:type="first" r:id="rId17"/>
      <w:footerReference w:type="first" r:id="rId18"/>
      <w:pgSz w:w="11906" w:h="16838"/>
      <w:pgMar w:top="1276" w:right="567" w:bottom="851" w:left="539" w:header="0" w:footer="556" w:gutter="0"/>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1676" w16cex:dateUtc="2024-01-22T15:29:00Z"/>
  <w16cex:commentExtensible w16cex:durableId="29590A47" w16cex:dateUtc="2024-01-22T14:37:00Z"/>
  <w16cex:commentExtensible w16cex:durableId="29590AAF" w16cex:dateUtc="2024-01-2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FA8D7" w16cid:durableId="29591676"/>
  <w16cid:commentId w16cid:paraId="1BB97CDB" w16cid:durableId="29590A47"/>
  <w16cid:commentId w16cid:paraId="3EB290C2" w16cid:durableId="29590A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D3031" w14:textId="77777777" w:rsidR="00EF6828" w:rsidRDefault="00EF6828">
      <w:pPr>
        <w:spacing w:line="240" w:lineRule="auto"/>
      </w:pPr>
      <w:r>
        <w:separator/>
      </w:r>
    </w:p>
  </w:endnote>
  <w:endnote w:type="continuationSeparator" w:id="0">
    <w:p w14:paraId="04E0B3A4" w14:textId="77777777" w:rsidR="00EF6828" w:rsidRDefault="00EF6828">
      <w:pPr>
        <w:spacing w:line="240" w:lineRule="auto"/>
      </w:pPr>
      <w:r>
        <w:continuationSeparator/>
      </w:r>
    </w:p>
  </w:endnote>
  <w:endnote w:type="continuationNotice" w:id="1">
    <w:p w14:paraId="4C7C8609" w14:textId="77777777" w:rsidR="006244DA" w:rsidRDefault="006244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461550"/>
      <w:docPartObj>
        <w:docPartGallery w:val="Page Numbers (Bottom of Page)"/>
        <w:docPartUnique/>
      </w:docPartObj>
    </w:sdtPr>
    <w:sdtEndPr/>
    <w:sdtContent>
      <w:sdt>
        <w:sdtPr>
          <w:id w:val="-847636933"/>
          <w:docPartObj>
            <w:docPartGallery w:val="Page Numbers (Top of Page)"/>
            <w:docPartUnique/>
          </w:docPartObj>
        </w:sdtPr>
        <w:sdtEndPr/>
        <w:sdtContent>
          <w:p w14:paraId="0876E770" w14:textId="234F4EB8" w:rsidR="00EF6828" w:rsidRDefault="00EF682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6C6F69">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C6F69">
              <w:rPr>
                <w:b/>
                <w:bCs/>
                <w:noProof/>
              </w:rPr>
              <w:t>12</w:t>
            </w:r>
            <w:r>
              <w:rPr>
                <w:b/>
                <w:bCs/>
                <w:sz w:val="24"/>
                <w:szCs w:val="24"/>
              </w:rPr>
              <w:fldChar w:fldCharType="end"/>
            </w:r>
          </w:p>
        </w:sdtContent>
      </w:sdt>
    </w:sdtContent>
  </w:sdt>
  <w:p w14:paraId="213F174C" w14:textId="3C6E18E2" w:rsidR="00EF6828" w:rsidRPr="004811EC" w:rsidRDefault="00EF6828" w:rsidP="004811EC">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DEAD" w14:textId="77777777" w:rsidR="00EF6828" w:rsidRPr="004811EC" w:rsidRDefault="00EF6828" w:rsidP="00092F50">
    <w:pPr>
      <w:pStyle w:val="Pieddepage"/>
      <w:jc w:val="center"/>
      <w:rPr>
        <w:rFonts w:cs="Arial"/>
        <w:b/>
        <w:bCs/>
        <w:color w:val="000000"/>
        <w:sz w:val="18"/>
      </w:rPr>
    </w:pPr>
    <w:r w:rsidRPr="004811EC">
      <w:rPr>
        <w:rFonts w:cs="Arial"/>
        <w:b/>
        <w:bCs/>
        <w:color w:val="000000"/>
        <w:sz w:val="18"/>
      </w:rPr>
      <w:t>Direction du développement économique</w:t>
    </w:r>
  </w:p>
  <w:p w14:paraId="6B0ED8F5" w14:textId="57F720AC" w:rsidR="00EF6828" w:rsidRDefault="00EF6828" w:rsidP="00092F50">
    <w:pPr>
      <w:pStyle w:val="Pieddepage"/>
      <w:jc w:val="center"/>
    </w:pPr>
    <w:r w:rsidRPr="004811EC">
      <w:rPr>
        <w:rFonts w:cs="Arial"/>
        <w:b/>
        <w:bCs/>
        <w:color w:val="000000"/>
        <w:sz w:val="18"/>
      </w:rPr>
      <w:t>Service du développement de l’enseignement supérieur et de la recherche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389744"/>
      <w:docPartObj>
        <w:docPartGallery w:val="Page Numbers (Bottom of Page)"/>
        <w:docPartUnique/>
      </w:docPartObj>
    </w:sdtPr>
    <w:sdtEndPr/>
    <w:sdtContent>
      <w:sdt>
        <w:sdtPr>
          <w:id w:val="-833600735"/>
          <w:docPartObj>
            <w:docPartGallery w:val="Page Numbers (Top of Page)"/>
            <w:docPartUnique/>
          </w:docPartObj>
        </w:sdtPr>
        <w:sdtEndPr/>
        <w:sdtContent>
          <w:p w14:paraId="5A7638EE" w14:textId="77777777" w:rsidR="00EF6828" w:rsidRDefault="00EF6828">
            <w:pPr>
              <w:pStyle w:val="Pieddepage"/>
              <w:jc w:val="right"/>
            </w:pPr>
          </w:p>
          <w:p w14:paraId="539A702F" w14:textId="7F0DFA8D" w:rsidR="00EF6828" w:rsidRDefault="00EF6828">
            <w:pPr>
              <w:pStyle w:val="Pieddepage"/>
              <w:jc w:val="right"/>
            </w:pPr>
            <w:r>
              <w:t>Règlement Bienvenüe 2024</w:t>
            </w:r>
            <w:r>
              <w:tab/>
            </w:r>
            <w:r>
              <w:tab/>
            </w:r>
            <w:r>
              <w:tab/>
              <w:t xml:space="preserve">Page </w:t>
            </w:r>
            <w:r>
              <w:rPr>
                <w:b/>
                <w:bCs/>
                <w:sz w:val="24"/>
                <w:szCs w:val="24"/>
              </w:rPr>
              <w:fldChar w:fldCharType="begin"/>
            </w:r>
            <w:r>
              <w:rPr>
                <w:b/>
                <w:bCs/>
              </w:rPr>
              <w:instrText>PAGE</w:instrText>
            </w:r>
            <w:r>
              <w:rPr>
                <w:b/>
                <w:bCs/>
                <w:sz w:val="24"/>
                <w:szCs w:val="24"/>
              </w:rPr>
              <w:fldChar w:fldCharType="separate"/>
            </w:r>
            <w:r w:rsidR="006C6F69">
              <w:rPr>
                <w:b/>
                <w:bCs/>
                <w:noProof/>
              </w:rPr>
              <w:t>11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C6F69">
              <w:rPr>
                <w:b/>
                <w:bCs/>
                <w:noProof/>
              </w:rPr>
              <w:t>12</w:t>
            </w:r>
            <w:r>
              <w:rPr>
                <w:b/>
                <w:bCs/>
                <w:sz w:val="24"/>
                <w:szCs w:val="24"/>
              </w:rPr>
              <w:fldChar w:fldCharType="end"/>
            </w:r>
          </w:p>
        </w:sdtContent>
      </w:sdt>
    </w:sdtContent>
  </w:sdt>
  <w:p w14:paraId="39EFE2C3" w14:textId="21236CEF" w:rsidR="00EF6828" w:rsidRDefault="00EF6828" w:rsidP="00DF37F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049364"/>
      <w:docPartObj>
        <w:docPartGallery w:val="Page Numbers (Bottom of Page)"/>
        <w:docPartUnique/>
      </w:docPartObj>
    </w:sdtPr>
    <w:sdtEndPr/>
    <w:sdtContent>
      <w:sdt>
        <w:sdtPr>
          <w:id w:val="-1769616900"/>
          <w:docPartObj>
            <w:docPartGallery w:val="Page Numbers (Top of Page)"/>
            <w:docPartUnique/>
          </w:docPartObj>
        </w:sdtPr>
        <w:sdtEndPr/>
        <w:sdtContent>
          <w:p w14:paraId="7108375F" w14:textId="5D3091B2" w:rsidR="00EF6828" w:rsidRDefault="00EF682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6C6F69">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C6F69">
              <w:rPr>
                <w:b/>
                <w:bCs/>
                <w:noProof/>
              </w:rPr>
              <w:t>12</w:t>
            </w:r>
            <w:r>
              <w:rPr>
                <w:b/>
                <w:bCs/>
                <w:sz w:val="24"/>
                <w:szCs w:val="24"/>
              </w:rPr>
              <w:fldChar w:fldCharType="end"/>
            </w:r>
          </w:p>
        </w:sdtContent>
      </w:sdt>
    </w:sdtContent>
  </w:sdt>
  <w:p w14:paraId="6A792B84" w14:textId="327E1270" w:rsidR="00EF6828" w:rsidRDefault="00EF6828" w:rsidP="00DF37F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675939"/>
      <w:docPartObj>
        <w:docPartGallery w:val="Page Numbers (Bottom of Page)"/>
        <w:docPartUnique/>
      </w:docPartObj>
    </w:sdtPr>
    <w:sdtEndPr/>
    <w:sdtContent>
      <w:sdt>
        <w:sdtPr>
          <w:id w:val="1673909902"/>
          <w:docPartObj>
            <w:docPartGallery w:val="Page Numbers (Top of Page)"/>
            <w:docPartUnique/>
          </w:docPartObj>
        </w:sdtPr>
        <w:sdtEndPr/>
        <w:sdtContent>
          <w:p w14:paraId="0DF04E72" w14:textId="77777777" w:rsidR="00EF6828" w:rsidRDefault="00EF6828">
            <w:pPr>
              <w:pStyle w:val="Pieddepage"/>
              <w:jc w:val="right"/>
            </w:pPr>
          </w:p>
          <w:p w14:paraId="3A1701F4" w14:textId="70F796A9" w:rsidR="00EF6828" w:rsidRDefault="00EF6828" w:rsidP="004C290B">
            <w:pPr>
              <w:pStyle w:val="Pieddepage"/>
              <w:jc w:val="right"/>
            </w:pPr>
            <w:r>
              <w:rPr>
                <w:szCs w:val="20"/>
              </w:rPr>
              <w:t>Règlement SAD 2021</w:t>
            </w:r>
            <w:r w:rsidRPr="004C290B">
              <w:rPr>
                <w:szCs w:val="20"/>
              </w:rPr>
              <w:tab/>
            </w:r>
            <w:r w:rsidRPr="004C290B">
              <w:rPr>
                <w:szCs w:val="20"/>
              </w:rPr>
              <w:tab/>
            </w:r>
            <w:r w:rsidRPr="004C290B">
              <w:rPr>
                <w:szCs w:val="20"/>
              </w:rPr>
              <w:tab/>
              <w:t xml:space="preserve">Page </w:t>
            </w:r>
            <w:r w:rsidRPr="004C290B">
              <w:rPr>
                <w:b/>
                <w:bCs/>
                <w:szCs w:val="20"/>
              </w:rPr>
              <w:fldChar w:fldCharType="begin"/>
            </w:r>
            <w:r w:rsidRPr="004C290B">
              <w:rPr>
                <w:b/>
                <w:bCs/>
                <w:szCs w:val="20"/>
              </w:rPr>
              <w:instrText>PAGE</w:instrText>
            </w:r>
            <w:r w:rsidRPr="004C290B">
              <w:rPr>
                <w:b/>
                <w:bCs/>
                <w:szCs w:val="20"/>
              </w:rPr>
              <w:fldChar w:fldCharType="separate"/>
            </w:r>
            <w:r>
              <w:rPr>
                <w:b/>
                <w:bCs/>
                <w:noProof/>
                <w:szCs w:val="20"/>
              </w:rPr>
              <w:t>9</w:t>
            </w:r>
            <w:r w:rsidRPr="004C290B">
              <w:rPr>
                <w:b/>
                <w:bCs/>
                <w:szCs w:val="20"/>
              </w:rPr>
              <w:fldChar w:fldCharType="end"/>
            </w:r>
            <w:r w:rsidRPr="004C290B">
              <w:rPr>
                <w:szCs w:val="20"/>
              </w:rPr>
              <w:t xml:space="preserve"> sur </w:t>
            </w:r>
            <w:r w:rsidRPr="004C290B">
              <w:rPr>
                <w:b/>
                <w:bCs/>
                <w:szCs w:val="20"/>
              </w:rPr>
              <w:fldChar w:fldCharType="begin"/>
            </w:r>
            <w:r w:rsidRPr="004C290B">
              <w:rPr>
                <w:b/>
                <w:bCs/>
                <w:szCs w:val="20"/>
              </w:rPr>
              <w:instrText>NUMPAGES</w:instrText>
            </w:r>
            <w:r w:rsidRPr="004C290B">
              <w:rPr>
                <w:b/>
                <w:bCs/>
                <w:szCs w:val="20"/>
              </w:rPr>
              <w:fldChar w:fldCharType="separate"/>
            </w:r>
            <w:r>
              <w:rPr>
                <w:b/>
                <w:bCs/>
                <w:noProof/>
                <w:szCs w:val="20"/>
              </w:rPr>
              <w:t>10</w:t>
            </w:r>
            <w:r w:rsidRPr="004C290B">
              <w:rPr>
                <w:b/>
                <w:bCs/>
                <w:szCs w:val="20"/>
              </w:rPr>
              <w:fldChar w:fldCharType="end"/>
            </w:r>
          </w:p>
        </w:sdtContent>
      </w:sdt>
    </w:sdtContent>
  </w:sdt>
  <w:p w14:paraId="5231EBF1" w14:textId="77777777" w:rsidR="00EF6828" w:rsidRDefault="00EF682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50226"/>
      <w:docPartObj>
        <w:docPartGallery w:val="Page Numbers (Bottom of Page)"/>
        <w:docPartUnique/>
      </w:docPartObj>
    </w:sdtPr>
    <w:sdtEndPr/>
    <w:sdtContent>
      <w:sdt>
        <w:sdtPr>
          <w:id w:val="-1240322751"/>
          <w:docPartObj>
            <w:docPartGallery w:val="Page Numbers (Top of Page)"/>
            <w:docPartUnique/>
          </w:docPartObj>
        </w:sdtPr>
        <w:sdtEndPr/>
        <w:sdtContent>
          <w:p w14:paraId="31F8FBC6" w14:textId="570F6E72" w:rsidR="00EF6828" w:rsidRDefault="00EF682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6C6F69">
              <w:rPr>
                <w:b/>
                <w:bCs/>
                <w:noProof/>
              </w:rPr>
              <w:t>12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C6F69">
              <w:rPr>
                <w:b/>
                <w:bCs/>
                <w:noProof/>
              </w:rPr>
              <w:t>12</w:t>
            </w:r>
            <w:r>
              <w:rPr>
                <w:b/>
                <w:bCs/>
                <w:sz w:val="24"/>
                <w:szCs w:val="24"/>
              </w:rPr>
              <w:fldChar w:fldCharType="end"/>
            </w:r>
          </w:p>
        </w:sdtContent>
      </w:sdt>
    </w:sdtContent>
  </w:sdt>
  <w:p w14:paraId="36E85E59" w14:textId="77777777" w:rsidR="00EF6828" w:rsidRDefault="00EF68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CF55F" w14:textId="77777777" w:rsidR="00EF6828" w:rsidRDefault="00EF6828">
      <w:pPr>
        <w:spacing w:line="240" w:lineRule="auto"/>
      </w:pPr>
      <w:r>
        <w:separator/>
      </w:r>
    </w:p>
  </w:footnote>
  <w:footnote w:type="continuationSeparator" w:id="0">
    <w:p w14:paraId="0FD5F511" w14:textId="77777777" w:rsidR="00EF6828" w:rsidRDefault="00EF6828">
      <w:pPr>
        <w:spacing w:line="240" w:lineRule="auto"/>
      </w:pPr>
      <w:r>
        <w:continuationSeparator/>
      </w:r>
    </w:p>
  </w:footnote>
  <w:footnote w:type="continuationNotice" w:id="1">
    <w:p w14:paraId="5035CA24" w14:textId="77777777" w:rsidR="006244DA" w:rsidRDefault="006244DA">
      <w:pPr>
        <w:spacing w:line="240" w:lineRule="auto"/>
      </w:pPr>
    </w:p>
  </w:footnote>
  <w:footnote w:id="2">
    <w:p w14:paraId="14D45AF6" w14:textId="1056A6DD" w:rsidR="00EF6828" w:rsidRPr="00D401A3" w:rsidRDefault="00EF6828">
      <w:pPr>
        <w:pStyle w:val="Notedebasdepage"/>
        <w:rPr>
          <w:sz w:val="18"/>
          <w:szCs w:val="18"/>
        </w:rPr>
      </w:pPr>
      <w:r w:rsidRPr="00D401A3">
        <w:rPr>
          <w:rStyle w:val="Appelnotedebasdep"/>
          <w:sz w:val="18"/>
          <w:szCs w:val="18"/>
        </w:rPr>
        <w:footnoteRef/>
      </w:r>
      <w:r w:rsidRPr="00D401A3">
        <w:rPr>
          <w:sz w:val="18"/>
          <w:szCs w:val="18"/>
        </w:rPr>
        <w:t xml:space="preserve"> </w:t>
      </w:r>
      <w:hyperlink r:id="rId1" w:history="1">
        <w:r w:rsidRPr="00D401A3">
          <w:rPr>
            <w:rStyle w:val="Lienhypertexte"/>
            <w:sz w:val="18"/>
            <w:szCs w:val="18"/>
          </w:rPr>
          <w:t>https://www.bretagne.bzh/app/uploads/20_DIRECO_SIS_01_S3-b.pdf</w:t>
        </w:r>
      </w:hyperlink>
      <w:r w:rsidRPr="00D401A3">
        <w:rPr>
          <w:sz w:val="18"/>
          <w:szCs w:val="18"/>
        </w:rPr>
        <w:t xml:space="preserve"> </w:t>
      </w:r>
    </w:p>
  </w:footnote>
  <w:footnote w:id="3">
    <w:p w14:paraId="1B8A680D" w14:textId="4D0EF7D5" w:rsidR="00EF6828" w:rsidRPr="00D401A3" w:rsidRDefault="00EF6828">
      <w:pPr>
        <w:pStyle w:val="Notedebasdepage"/>
        <w:rPr>
          <w:sz w:val="18"/>
          <w:szCs w:val="18"/>
        </w:rPr>
      </w:pPr>
      <w:r w:rsidRPr="00D401A3">
        <w:rPr>
          <w:rStyle w:val="Appelnotedebasdep"/>
          <w:sz w:val="18"/>
          <w:szCs w:val="18"/>
        </w:rPr>
        <w:footnoteRef/>
      </w:r>
      <w:r w:rsidRPr="00D401A3">
        <w:rPr>
          <w:sz w:val="18"/>
          <w:szCs w:val="18"/>
        </w:rPr>
        <w:t xml:space="preserve"> La durée du contrat de travail </w:t>
      </w:r>
      <w:proofErr w:type="spellStart"/>
      <w:r w:rsidRPr="00D401A3">
        <w:rPr>
          <w:sz w:val="18"/>
          <w:szCs w:val="18"/>
        </w:rPr>
        <w:t>du·de</w:t>
      </w:r>
      <w:proofErr w:type="spellEnd"/>
      <w:r w:rsidRPr="00D401A3">
        <w:rPr>
          <w:sz w:val="18"/>
          <w:szCs w:val="18"/>
        </w:rPr>
        <w:t xml:space="preserve"> la </w:t>
      </w:r>
      <w:proofErr w:type="spellStart"/>
      <w:r w:rsidRPr="00D401A3">
        <w:rPr>
          <w:sz w:val="18"/>
          <w:szCs w:val="18"/>
        </w:rPr>
        <w:t>post-doctorant·e</w:t>
      </w:r>
      <w:proofErr w:type="spellEnd"/>
      <w:r w:rsidRPr="00D401A3">
        <w:rPr>
          <w:sz w:val="18"/>
          <w:szCs w:val="18"/>
        </w:rPr>
        <w:t xml:space="preserve"> correspond au minimum à la durée du projet.</w:t>
      </w:r>
    </w:p>
  </w:footnote>
  <w:footnote w:id="4">
    <w:p w14:paraId="571987F9" w14:textId="04D67D71" w:rsidR="00EF6828" w:rsidRPr="00D401A3" w:rsidRDefault="00EF6828">
      <w:pPr>
        <w:pStyle w:val="Notedebasdepage"/>
        <w:rPr>
          <w:sz w:val="18"/>
          <w:szCs w:val="18"/>
        </w:rPr>
      </w:pPr>
      <w:r w:rsidRPr="00D401A3">
        <w:rPr>
          <w:rStyle w:val="Appelnotedebasdep"/>
          <w:sz w:val="18"/>
          <w:szCs w:val="18"/>
        </w:rPr>
        <w:footnoteRef/>
      </w:r>
      <w:r w:rsidRPr="00D401A3">
        <w:rPr>
          <w:sz w:val="18"/>
          <w:szCs w:val="18"/>
        </w:rPr>
        <w:t xml:space="preserve"> Recrutement par l’établissement porteur du projet, implanté en Bretagne.</w:t>
      </w:r>
    </w:p>
  </w:footnote>
  <w:footnote w:id="5">
    <w:p w14:paraId="5A8DC9AE" w14:textId="77904AA8" w:rsidR="00EF6828" w:rsidRPr="00D401A3" w:rsidRDefault="00EF6828" w:rsidP="00EB17E4">
      <w:pPr>
        <w:pStyle w:val="Notedebasdepage"/>
        <w:rPr>
          <w:sz w:val="18"/>
          <w:szCs w:val="18"/>
        </w:rPr>
      </w:pPr>
      <w:r w:rsidRPr="00D401A3">
        <w:rPr>
          <w:rStyle w:val="Appelnotedebasdep"/>
          <w:sz w:val="18"/>
          <w:szCs w:val="18"/>
        </w:rPr>
        <w:footnoteRef/>
      </w:r>
      <w:r w:rsidRPr="00D401A3">
        <w:rPr>
          <w:sz w:val="18"/>
          <w:szCs w:val="18"/>
        </w:rPr>
        <w:t xml:space="preserve"> En référence à la </w:t>
      </w:r>
      <w:r w:rsidRPr="00D401A3">
        <w:rPr>
          <w:b/>
          <w:sz w:val="18"/>
          <w:szCs w:val="18"/>
        </w:rPr>
        <w:t xml:space="preserve">règle de mobilité des actions Marie </w:t>
      </w:r>
      <w:proofErr w:type="spellStart"/>
      <w:r w:rsidRPr="00D401A3">
        <w:rPr>
          <w:b/>
          <w:sz w:val="18"/>
          <w:szCs w:val="18"/>
        </w:rPr>
        <w:t>Sklodowska</w:t>
      </w:r>
      <w:proofErr w:type="spellEnd"/>
      <w:r w:rsidRPr="00D401A3">
        <w:rPr>
          <w:b/>
          <w:sz w:val="18"/>
          <w:szCs w:val="18"/>
        </w:rPr>
        <w:t>-Curie</w:t>
      </w:r>
      <w:r w:rsidRPr="00D401A3">
        <w:rPr>
          <w:sz w:val="18"/>
          <w:szCs w:val="18"/>
        </w:rPr>
        <w:t xml:space="preserve"> du programme-cadre de l'Union européenne pour la recherche et l'innovation. Ainsi, sont prises en considération les périodes de résidence ou d’exercice de l’activité principale (travail, études, etc.) pouvant être attestées par des documents (contrats de travail, bourse d’étude, etc.). Les courts séjours tels que des vacances ne sont pas pris en </w:t>
      </w:r>
      <w:r>
        <w:rPr>
          <w:sz w:val="18"/>
          <w:szCs w:val="18"/>
        </w:rPr>
        <w:t>compte</w:t>
      </w:r>
      <w:r w:rsidRPr="00D401A3">
        <w:rPr>
          <w:sz w:val="18"/>
          <w:szCs w:val="18"/>
        </w:rPr>
        <w:t xml:space="preserve">. </w:t>
      </w:r>
    </w:p>
    <w:p w14:paraId="78E3EF7C" w14:textId="46A0FA09" w:rsidR="00EF6828" w:rsidRDefault="00EF6828" w:rsidP="00EB17E4">
      <w:pPr>
        <w:pStyle w:val="Notedebasdepage"/>
      </w:pPr>
      <w:r w:rsidRPr="00D401A3">
        <w:rPr>
          <w:sz w:val="18"/>
          <w:szCs w:val="18"/>
        </w:rPr>
        <w:t xml:space="preserve">Si un </w:t>
      </w:r>
      <w:r w:rsidRPr="00D401A3">
        <w:rPr>
          <w:b/>
          <w:sz w:val="18"/>
          <w:szCs w:val="18"/>
        </w:rPr>
        <w:t>congé maternité et/ou parental</w:t>
      </w:r>
      <w:r w:rsidRPr="00D401A3">
        <w:rPr>
          <w:sz w:val="18"/>
          <w:szCs w:val="18"/>
        </w:rPr>
        <w:t xml:space="preserve"> est intervenu durant la période prise en compte, cette dernière est allongée d’autant de mois. Ainsi, par exemple, pour un congé maternité de 4 mois intervenu entre le 1</w:t>
      </w:r>
      <w:r w:rsidRPr="00D401A3">
        <w:rPr>
          <w:sz w:val="18"/>
          <w:szCs w:val="18"/>
          <w:vertAlign w:val="superscript"/>
        </w:rPr>
        <w:t>er</w:t>
      </w:r>
      <w:r w:rsidRPr="00D401A3">
        <w:rPr>
          <w:sz w:val="18"/>
          <w:szCs w:val="18"/>
        </w:rPr>
        <w:t xml:space="preserve"> mai 20</w:t>
      </w:r>
      <w:r>
        <w:rPr>
          <w:sz w:val="18"/>
          <w:szCs w:val="18"/>
        </w:rPr>
        <w:t>21</w:t>
      </w:r>
      <w:r w:rsidRPr="00D401A3">
        <w:rPr>
          <w:sz w:val="18"/>
          <w:szCs w:val="18"/>
        </w:rPr>
        <w:t xml:space="preserve"> et le démarrage du projet, la période prise en compte pour le calcul des 18 mois à l’étranger </w:t>
      </w:r>
      <w:r>
        <w:rPr>
          <w:sz w:val="18"/>
          <w:szCs w:val="18"/>
        </w:rPr>
        <w:t>s’étend du</w:t>
      </w:r>
      <w:r w:rsidRPr="00D401A3">
        <w:rPr>
          <w:sz w:val="18"/>
          <w:szCs w:val="18"/>
        </w:rPr>
        <w:t xml:space="preserve"> 1</w:t>
      </w:r>
      <w:r w:rsidRPr="00D401A3">
        <w:rPr>
          <w:sz w:val="18"/>
          <w:szCs w:val="18"/>
          <w:vertAlign w:val="superscript"/>
        </w:rPr>
        <w:t>er</w:t>
      </w:r>
      <w:r w:rsidRPr="00D401A3">
        <w:rPr>
          <w:sz w:val="18"/>
          <w:szCs w:val="18"/>
        </w:rPr>
        <w:t xml:space="preserve"> janvier 20</w:t>
      </w:r>
      <w:r>
        <w:rPr>
          <w:sz w:val="18"/>
          <w:szCs w:val="18"/>
        </w:rPr>
        <w:t>21</w:t>
      </w:r>
      <w:r w:rsidRPr="00D401A3">
        <w:rPr>
          <w:sz w:val="18"/>
          <w:szCs w:val="18"/>
        </w:rPr>
        <w:t xml:space="preserve"> </w:t>
      </w:r>
      <w:r>
        <w:rPr>
          <w:sz w:val="18"/>
          <w:szCs w:val="18"/>
        </w:rPr>
        <w:t>au</w:t>
      </w:r>
      <w:r w:rsidRPr="00D401A3">
        <w:rPr>
          <w:sz w:val="18"/>
          <w:szCs w:val="18"/>
        </w:rPr>
        <w:t xml:space="preserve"> démarrage du projet.</w:t>
      </w:r>
    </w:p>
  </w:footnote>
  <w:footnote w:id="6">
    <w:p w14:paraId="61BAC27F" w14:textId="5C4108AC" w:rsidR="00EF6828" w:rsidRPr="00D401A3" w:rsidRDefault="00EF6828" w:rsidP="00FE06FB">
      <w:pPr>
        <w:pStyle w:val="Notedebasdepage"/>
        <w:rPr>
          <w:sz w:val="18"/>
          <w:szCs w:val="18"/>
        </w:rPr>
      </w:pPr>
      <w:r w:rsidRPr="008E7A22">
        <w:rPr>
          <w:rStyle w:val="Appelnotedebasdep"/>
          <w:sz w:val="18"/>
          <w:szCs w:val="18"/>
        </w:rPr>
        <w:footnoteRef/>
      </w:r>
      <w:r w:rsidRPr="008E7A22">
        <w:rPr>
          <w:sz w:val="18"/>
          <w:szCs w:val="18"/>
        </w:rPr>
        <w:t xml:space="preserve"> </w:t>
      </w:r>
      <w:r w:rsidRPr="00D401A3">
        <w:rPr>
          <w:sz w:val="18"/>
          <w:szCs w:val="18"/>
        </w:rPr>
        <w:t xml:space="preserve">Extranet recherche : </w:t>
      </w:r>
      <w:r w:rsidRPr="00460040">
        <w:rPr>
          <w:sz w:val="18"/>
          <w:szCs w:val="18"/>
        </w:rPr>
        <w:t>https://region.bretagne.bzh/rech/</w:t>
      </w:r>
    </w:p>
  </w:footnote>
  <w:footnote w:id="7">
    <w:p w14:paraId="08998AAF" w14:textId="45FD30ED" w:rsidR="00EF6828" w:rsidRPr="00D401A3" w:rsidRDefault="00EF6828" w:rsidP="00674285">
      <w:pPr>
        <w:pStyle w:val="Notedebasdepage"/>
        <w:rPr>
          <w:sz w:val="18"/>
          <w:szCs w:val="18"/>
        </w:rPr>
      </w:pPr>
      <w:r w:rsidRPr="00D401A3">
        <w:rPr>
          <w:rStyle w:val="Appelnotedebasdep"/>
          <w:sz w:val="18"/>
          <w:szCs w:val="18"/>
        </w:rPr>
        <w:footnoteRef/>
      </w:r>
      <w:r w:rsidRPr="00D401A3">
        <w:rPr>
          <w:sz w:val="18"/>
          <w:szCs w:val="18"/>
        </w:rPr>
        <w:t xml:space="preserve"> Le cas échéant, joindre le CV en y insérant et en complétant le tableau suivant :</w:t>
      </w:r>
    </w:p>
    <w:tbl>
      <w:tblPr>
        <w:tblStyle w:val="Grilledutableau"/>
        <w:tblW w:w="8217" w:type="dxa"/>
        <w:tblLook w:val="04A0" w:firstRow="1" w:lastRow="0" w:firstColumn="1" w:lastColumn="0" w:noHBand="0" w:noVBand="1"/>
      </w:tblPr>
      <w:tblGrid>
        <w:gridCol w:w="4531"/>
        <w:gridCol w:w="3686"/>
      </w:tblGrid>
      <w:tr w:rsidR="00EF6828" w:rsidRPr="00D401A3" w14:paraId="51F84A13" w14:textId="77777777" w:rsidTr="00957F05">
        <w:trPr>
          <w:trHeight w:val="406"/>
        </w:trPr>
        <w:tc>
          <w:tcPr>
            <w:tcW w:w="8217" w:type="dxa"/>
            <w:gridSpan w:val="2"/>
            <w:tcBorders>
              <w:top w:val="single" w:sz="4" w:space="0" w:color="auto"/>
              <w:left w:val="single" w:sz="4" w:space="0" w:color="auto"/>
              <w:bottom w:val="single" w:sz="4" w:space="0" w:color="auto"/>
              <w:right w:val="single" w:sz="4" w:space="0" w:color="auto"/>
            </w:tcBorders>
            <w:vAlign w:val="center"/>
            <w:hideMark/>
          </w:tcPr>
          <w:p w14:paraId="056A16C5" w14:textId="773B082E" w:rsidR="00EF6828" w:rsidRPr="00D401A3" w:rsidRDefault="00EF6828" w:rsidP="005F0996">
            <w:pPr>
              <w:spacing w:line="240" w:lineRule="auto"/>
              <w:rPr>
                <w:rFonts w:ascii="Georgia" w:hAnsi="Georgia" w:cstheme="minorBidi"/>
                <w:sz w:val="18"/>
              </w:rPr>
            </w:pPr>
            <w:r w:rsidRPr="00D401A3">
              <w:rPr>
                <w:rFonts w:ascii="Georgia" w:hAnsi="Georgia"/>
                <w:sz w:val="18"/>
              </w:rPr>
              <w:t>Lieu de travail et/ou d’étude et/ou de résidence entre le 1</w:t>
            </w:r>
            <w:r w:rsidRPr="00D401A3">
              <w:rPr>
                <w:rFonts w:ascii="Georgia" w:hAnsi="Georgia"/>
                <w:sz w:val="18"/>
                <w:vertAlign w:val="superscript"/>
              </w:rPr>
              <w:t>er</w:t>
            </w:r>
            <w:r w:rsidRPr="00D401A3">
              <w:rPr>
                <w:rFonts w:ascii="Georgia" w:hAnsi="Georgia"/>
                <w:sz w:val="18"/>
              </w:rPr>
              <w:t xml:space="preserve"> mai 20</w:t>
            </w:r>
            <w:r>
              <w:rPr>
                <w:rFonts w:ascii="Georgia" w:hAnsi="Georgia"/>
                <w:sz w:val="18"/>
              </w:rPr>
              <w:t>21</w:t>
            </w:r>
            <w:r w:rsidRPr="00D401A3">
              <w:rPr>
                <w:rFonts w:ascii="Georgia" w:hAnsi="Georgia"/>
                <w:sz w:val="18"/>
              </w:rPr>
              <w:t xml:space="preserve"> et la date de démarrage du projet</w:t>
            </w:r>
          </w:p>
        </w:tc>
      </w:tr>
      <w:tr w:rsidR="00EF6828" w:rsidRPr="00D401A3" w14:paraId="02CF7A52" w14:textId="77777777" w:rsidTr="00957F05">
        <w:trPr>
          <w:trHeight w:val="361"/>
        </w:trPr>
        <w:tc>
          <w:tcPr>
            <w:tcW w:w="4531" w:type="dxa"/>
            <w:tcBorders>
              <w:top w:val="single" w:sz="4" w:space="0" w:color="auto"/>
              <w:left w:val="single" w:sz="4" w:space="0" w:color="auto"/>
              <w:bottom w:val="single" w:sz="4" w:space="0" w:color="auto"/>
              <w:right w:val="single" w:sz="4" w:space="0" w:color="auto"/>
            </w:tcBorders>
            <w:vAlign w:val="center"/>
            <w:hideMark/>
          </w:tcPr>
          <w:p w14:paraId="3D3E91D2" w14:textId="2EB5D322" w:rsidR="00EF6828" w:rsidRPr="00D401A3" w:rsidRDefault="00EF6828" w:rsidP="006979F4">
            <w:pPr>
              <w:spacing w:line="240" w:lineRule="auto"/>
              <w:rPr>
                <w:rFonts w:ascii="Georgia" w:hAnsi="Georgia"/>
                <w:sz w:val="18"/>
              </w:rPr>
            </w:pPr>
            <w:r w:rsidRPr="00D401A3">
              <w:rPr>
                <w:rFonts w:ascii="Georgia" w:hAnsi="Georgia"/>
                <w:sz w:val="18"/>
              </w:rPr>
              <w:t>Du 01/05/20</w:t>
            </w:r>
            <w:r>
              <w:rPr>
                <w:rFonts w:ascii="Georgia" w:hAnsi="Georgia"/>
                <w:sz w:val="18"/>
              </w:rPr>
              <w:t>21</w:t>
            </w:r>
            <w:r w:rsidRPr="00D401A3">
              <w:rPr>
                <w:rFonts w:ascii="Georgia" w:hAnsi="Georgia"/>
                <w:sz w:val="18"/>
              </w:rPr>
              <w:t xml:space="preserve"> au </w:t>
            </w:r>
            <w:proofErr w:type="spellStart"/>
            <w:r w:rsidRPr="00D401A3">
              <w:rPr>
                <w:rFonts w:ascii="Georgia" w:hAnsi="Georgia"/>
                <w:sz w:val="18"/>
                <w:highlight w:val="lightGray"/>
              </w:rPr>
              <w:t>jj</w:t>
            </w:r>
            <w:proofErr w:type="spellEnd"/>
            <w:r w:rsidRPr="00D401A3">
              <w:rPr>
                <w:rFonts w:ascii="Georgia" w:hAnsi="Georgia"/>
                <w:sz w:val="18"/>
                <w:highlight w:val="lightGray"/>
              </w:rPr>
              <w:t>/mm/</w:t>
            </w:r>
            <w:proofErr w:type="spellStart"/>
            <w:r w:rsidRPr="00D401A3">
              <w:rPr>
                <w:rFonts w:ascii="Georgia" w:hAnsi="Georgia"/>
                <w:sz w:val="18"/>
                <w:highlight w:val="lightGray"/>
              </w:rPr>
              <w:t>aaaaa</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14:paraId="246CF3BE" w14:textId="77777777" w:rsidR="00EF6828" w:rsidRPr="00D401A3" w:rsidRDefault="00EF6828" w:rsidP="00674285">
            <w:pPr>
              <w:spacing w:line="240" w:lineRule="auto"/>
              <w:rPr>
                <w:rFonts w:ascii="Georgia" w:hAnsi="Georgia"/>
                <w:sz w:val="18"/>
                <w:highlight w:val="lightGray"/>
              </w:rPr>
            </w:pPr>
            <w:r w:rsidRPr="00D401A3">
              <w:rPr>
                <w:rFonts w:ascii="Georgia" w:hAnsi="Georgia"/>
                <w:sz w:val="18"/>
                <w:highlight w:val="lightGray"/>
              </w:rPr>
              <w:t>Pays</w:t>
            </w:r>
          </w:p>
        </w:tc>
      </w:tr>
      <w:tr w:rsidR="00EF6828" w:rsidRPr="00D401A3" w14:paraId="551716A1" w14:textId="77777777" w:rsidTr="00957F05">
        <w:trPr>
          <w:trHeight w:val="441"/>
        </w:trPr>
        <w:tc>
          <w:tcPr>
            <w:tcW w:w="4531" w:type="dxa"/>
            <w:tcBorders>
              <w:top w:val="single" w:sz="4" w:space="0" w:color="auto"/>
              <w:left w:val="single" w:sz="4" w:space="0" w:color="auto"/>
              <w:bottom w:val="single" w:sz="4" w:space="0" w:color="auto"/>
              <w:right w:val="single" w:sz="4" w:space="0" w:color="auto"/>
            </w:tcBorders>
            <w:vAlign w:val="center"/>
            <w:hideMark/>
          </w:tcPr>
          <w:p w14:paraId="6C945B67" w14:textId="77777777" w:rsidR="00EF6828" w:rsidRPr="00D401A3" w:rsidRDefault="00EF6828" w:rsidP="00674285">
            <w:pPr>
              <w:spacing w:line="240" w:lineRule="auto"/>
              <w:rPr>
                <w:rFonts w:ascii="Georgia" w:hAnsi="Georgia"/>
                <w:sz w:val="18"/>
              </w:rPr>
            </w:pPr>
            <w:r w:rsidRPr="00D401A3">
              <w:rPr>
                <w:rFonts w:ascii="Georgia" w:hAnsi="Georgia"/>
                <w:sz w:val="18"/>
              </w:rPr>
              <w:t xml:space="preserve">Du </w:t>
            </w:r>
            <w:proofErr w:type="spellStart"/>
            <w:r w:rsidRPr="00D401A3">
              <w:rPr>
                <w:rFonts w:ascii="Georgia" w:hAnsi="Georgia"/>
                <w:sz w:val="18"/>
                <w:highlight w:val="lightGray"/>
              </w:rPr>
              <w:t>jj</w:t>
            </w:r>
            <w:proofErr w:type="spellEnd"/>
            <w:r w:rsidRPr="00D401A3">
              <w:rPr>
                <w:rFonts w:ascii="Georgia" w:hAnsi="Georgia"/>
                <w:sz w:val="18"/>
                <w:highlight w:val="lightGray"/>
              </w:rPr>
              <w:t>/mm/</w:t>
            </w:r>
            <w:proofErr w:type="spellStart"/>
            <w:r w:rsidRPr="00D401A3">
              <w:rPr>
                <w:rFonts w:ascii="Georgia" w:hAnsi="Georgia"/>
                <w:sz w:val="18"/>
                <w:highlight w:val="lightGray"/>
              </w:rPr>
              <w:t>aaaaa</w:t>
            </w:r>
            <w:proofErr w:type="spellEnd"/>
            <w:r w:rsidRPr="00D401A3">
              <w:rPr>
                <w:rFonts w:ascii="Georgia" w:hAnsi="Georgia"/>
                <w:sz w:val="18"/>
              </w:rPr>
              <w:t xml:space="preserve"> au </w:t>
            </w:r>
            <w:proofErr w:type="spellStart"/>
            <w:r w:rsidRPr="00D401A3">
              <w:rPr>
                <w:rFonts w:ascii="Georgia" w:hAnsi="Georgia"/>
                <w:sz w:val="18"/>
                <w:highlight w:val="lightGray"/>
              </w:rPr>
              <w:t>jj</w:t>
            </w:r>
            <w:proofErr w:type="spellEnd"/>
            <w:r w:rsidRPr="00D401A3">
              <w:rPr>
                <w:rFonts w:ascii="Georgia" w:hAnsi="Georgia"/>
                <w:sz w:val="18"/>
                <w:highlight w:val="lightGray"/>
              </w:rPr>
              <w:t>/mm/</w:t>
            </w:r>
            <w:proofErr w:type="spellStart"/>
            <w:r w:rsidRPr="00D401A3">
              <w:rPr>
                <w:rFonts w:ascii="Georgia" w:hAnsi="Georgia"/>
                <w:sz w:val="18"/>
                <w:highlight w:val="lightGray"/>
              </w:rPr>
              <w:t>aaaaa</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14:paraId="1283606E" w14:textId="77777777" w:rsidR="00EF6828" w:rsidRPr="00D401A3" w:rsidRDefault="00EF6828" w:rsidP="00674285">
            <w:pPr>
              <w:spacing w:line="240" w:lineRule="auto"/>
              <w:rPr>
                <w:rFonts w:ascii="Georgia" w:hAnsi="Georgia"/>
                <w:sz w:val="18"/>
                <w:highlight w:val="lightGray"/>
              </w:rPr>
            </w:pPr>
            <w:r w:rsidRPr="00D401A3">
              <w:rPr>
                <w:rFonts w:ascii="Georgia" w:hAnsi="Georgia"/>
                <w:sz w:val="18"/>
                <w:highlight w:val="lightGray"/>
              </w:rPr>
              <w:t>Pays</w:t>
            </w:r>
          </w:p>
        </w:tc>
      </w:tr>
      <w:tr w:rsidR="00EF6828" w:rsidRPr="00D401A3" w14:paraId="399E1C54" w14:textId="77777777" w:rsidTr="00957F05">
        <w:trPr>
          <w:trHeight w:val="351"/>
        </w:trPr>
        <w:tc>
          <w:tcPr>
            <w:tcW w:w="4531" w:type="dxa"/>
            <w:tcBorders>
              <w:top w:val="single" w:sz="4" w:space="0" w:color="auto"/>
              <w:left w:val="single" w:sz="4" w:space="0" w:color="auto"/>
              <w:bottom w:val="single" w:sz="4" w:space="0" w:color="auto"/>
              <w:right w:val="single" w:sz="4" w:space="0" w:color="auto"/>
            </w:tcBorders>
            <w:vAlign w:val="center"/>
            <w:hideMark/>
          </w:tcPr>
          <w:p w14:paraId="71CC00F1" w14:textId="77777777" w:rsidR="00EF6828" w:rsidRPr="00D401A3" w:rsidRDefault="00EF6828" w:rsidP="00674285">
            <w:pPr>
              <w:spacing w:line="240" w:lineRule="auto"/>
              <w:rPr>
                <w:rFonts w:ascii="Georgia" w:hAnsi="Georgia"/>
                <w:sz w:val="18"/>
              </w:rPr>
            </w:pPr>
            <w:r w:rsidRPr="00D401A3">
              <w:rPr>
                <w:rFonts w:ascii="Georgia" w:hAnsi="Georgia"/>
                <w:sz w:val="18"/>
              </w:rPr>
              <w:t xml:space="preserve">Du </w:t>
            </w:r>
            <w:proofErr w:type="spellStart"/>
            <w:r w:rsidRPr="00D401A3">
              <w:rPr>
                <w:rFonts w:ascii="Georgia" w:hAnsi="Georgia"/>
                <w:sz w:val="18"/>
                <w:highlight w:val="lightGray"/>
              </w:rPr>
              <w:t>jj</w:t>
            </w:r>
            <w:proofErr w:type="spellEnd"/>
            <w:r w:rsidRPr="00D401A3">
              <w:rPr>
                <w:rFonts w:ascii="Georgia" w:hAnsi="Georgia"/>
                <w:sz w:val="18"/>
                <w:highlight w:val="lightGray"/>
              </w:rPr>
              <w:t>/mm/</w:t>
            </w:r>
            <w:proofErr w:type="spellStart"/>
            <w:r w:rsidRPr="00D401A3">
              <w:rPr>
                <w:rFonts w:ascii="Georgia" w:hAnsi="Georgia"/>
                <w:sz w:val="18"/>
                <w:highlight w:val="lightGray"/>
              </w:rPr>
              <w:t>aaaaa</w:t>
            </w:r>
            <w:proofErr w:type="spellEnd"/>
            <w:r w:rsidRPr="00D401A3">
              <w:rPr>
                <w:rFonts w:ascii="Georgia" w:hAnsi="Georgia"/>
                <w:sz w:val="18"/>
              </w:rPr>
              <w:t xml:space="preserve"> au </w:t>
            </w:r>
            <w:proofErr w:type="spellStart"/>
            <w:r w:rsidRPr="00D401A3">
              <w:rPr>
                <w:rFonts w:ascii="Georgia" w:hAnsi="Georgia"/>
                <w:sz w:val="18"/>
                <w:highlight w:val="lightGray"/>
              </w:rPr>
              <w:t>jj</w:t>
            </w:r>
            <w:proofErr w:type="spellEnd"/>
            <w:r w:rsidRPr="00D401A3">
              <w:rPr>
                <w:rFonts w:ascii="Georgia" w:hAnsi="Georgia"/>
                <w:sz w:val="18"/>
                <w:highlight w:val="lightGray"/>
              </w:rPr>
              <w:t>/mm/</w:t>
            </w:r>
            <w:proofErr w:type="spellStart"/>
            <w:r w:rsidRPr="00D401A3">
              <w:rPr>
                <w:rFonts w:ascii="Georgia" w:hAnsi="Georgia"/>
                <w:sz w:val="18"/>
                <w:highlight w:val="lightGray"/>
              </w:rPr>
              <w:t>aaaaa</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14:paraId="3A4D1151" w14:textId="77777777" w:rsidR="00EF6828" w:rsidRPr="00D401A3" w:rsidRDefault="00EF6828" w:rsidP="00674285">
            <w:pPr>
              <w:spacing w:line="240" w:lineRule="auto"/>
              <w:rPr>
                <w:rFonts w:ascii="Georgia" w:hAnsi="Georgia"/>
                <w:sz w:val="18"/>
                <w:highlight w:val="lightGray"/>
              </w:rPr>
            </w:pPr>
            <w:r w:rsidRPr="00D401A3">
              <w:rPr>
                <w:rFonts w:ascii="Georgia" w:hAnsi="Georgia"/>
                <w:sz w:val="18"/>
                <w:highlight w:val="lightGray"/>
              </w:rPr>
              <w:t>Pays</w:t>
            </w:r>
          </w:p>
        </w:tc>
      </w:tr>
    </w:tbl>
    <w:p w14:paraId="4D8C4935" w14:textId="20CDC613" w:rsidR="00EF6828" w:rsidRDefault="00EF6828">
      <w:pPr>
        <w:pStyle w:val="Notedebasdepage"/>
      </w:pPr>
    </w:p>
  </w:footnote>
  <w:footnote w:id="8">
    <w:p w14:paraId="652B561A" w14:textId="16E83D52" w:rsidR="00EF6828" w:rsidRPr="00861C4D" w:rsidRDefault="00EF6828" w:rsidP="00B40043">
      <w:pPr>
        <w:autoSpaceDE w:val="0"/>
        <w:autoSpaceDN w:val="0"/>
        <w:adjustRightInd w:val="0"/>
        <w:spacing w:line="240" w:lineRule="auto"/>
        <w:rPr>
          <w:rFonts w:ascii="Palatino Linotype" w:hAnsi="Palatino Linotype"/>
          <w:sz w:val="18"/>
        </w:rPr>
      </w:pPr>
      <w:r w:rsidRPr="00AC5EA0">
        <w:rPr>
          <w:rFonts w:ascii="Palatino Linotype" w:hAnsi="Palatino Linotype"/>
          <w:sz w:val="18"/>
        </w:rPr>
        <w:footnoteRef/>
      </w:r>
      <w:r w:rsidRPr="00AC5EA0">
        <w:rPr>
          <w:rFonts w:ascii="Palatino Linotype" w:hAnsi="Palatino Linotype"/>
          <w:sz w:val="18"/>
        </w:rPr>
        <w:t xml:space="preserve"> Le caractère semblable entre deux projets est établi lorsque ces projets (dans leur globalité ou en partie) décrivent des objectifs principaux identiques ou résultent d’une simple adaptation.</w:t>
      </w:r>
      <w:r>
        <w:rPr>
          <w:rFonts w:ascii="Palatino Linotype" w:hAnsi="Palatino Linotype"/>
          <w:sz w:val="18"/>
        </w:rPr>
        <w:t xml:space="preserve"> Le personnel ANR procèdera avec les vérifications nécessaires pour qu’il n’y ait pas un double financement. </w:t>
      </w:r>
    </w:p>
  </w:footnote>
  <w:footnote w:id="9">
    <w:p w14:paraId="7D9ABE50" w14:textId="3FCF1153" w:rsidR="00EF6828" w:rsidRPr="00861C4D" w:rsidRDefault="00EF6828" w:rsidP="00B40043">
      <w:pPr>
        <w:autoSpaceDE w:val="0"/>
        <w:autoSpaceDN w:val="0"/>
        <w:adjustRightInd w:val="0"/>
        <w:spacing w:line="240" w:lineRule="auto"/>
        <w:rPr>
          <w:rFonts w:ascii="Palatino Linotype" w:hAnsi="Palatino Linotype" w:cs="Arial"/>
          <w:sz w:val="18"/>
        </w:rPr>
      </w:pPr>
      <w:r w:rsidRPr="00861C4D">
        <w:rPr>
          <w:rStyle w:val="Appelnotedebasdep"/>
          <w:sz w:val="18"/>
        </w:rPr>
        <w:footnoteRef/>
      </w:r>
      <w:r w:rsidRPr="00861C4D">
        <w:rPr>
          <w:sz w:val="18"/>
        </w:rPr>
        <w:t xml:space="preserve"> </w:t>
      </w:r>
      <w:r w:rsidRPr="00861C4D">
        <w:rPr>
          <w:rFonts w:ascii="Palatino Linotype" w:hAnsi="Palatino Linotype" w:cs="Arial"/>
          <w:sz w:val="18"/>
        </w:rPr>
        <w:t xml:space="preserve">A la suite des propositions faites, les </w:t>
      </w:r>
      <w:proofErr w:type="spellStart"/>
      <w:r w:rsidR="00B40043">
        <w:rPr>
          <w:rFonts w:ascii="Palatino Linotype" w:hAnsi="Palatino Linotype" w:cs="Arial"/>
          <w:sz w:val="18"/>
        </w:rPr>
        <w:t>c</w:t>
      </w:r>
      <w:r w:rsidR="00B40043" w:rsidRPr="00861C4D">
        <w:rPr>
          <w:rFonts w:ascii="Palatino Linotype" w:hAnsi="Palatino Linotype" w:cs="Arial"/>
          <w:sz w:val="18"/>
        </w:rPr>
        <w:t>hargé</w:t>
      </w:r>
      <w:r w:rsidRPr="00861C4D">
        <w:rPr>
          <w:rFonts w:ascii="Palatino Linotype" w:hAnsi="Palatino Linotype" w:cs="Arial"/>
          <w:sz w:val="18"/>
        </w:rPr>
        <w:t>.e.s</w:t>
      </w:r>
      <w:proofErr w:type="spellEnd"/>
      <w:r w:rsidRPr="00861C4D">
        <w:rPr>
          <w:rFonts w:ascii="Palatino Linotype" w:hAnsi="Palatino Linotype" w:cs="Arial"/>
          <w:sz w:val="18"/>
        </w:rPr>
        <w:t xml:space="preserve"> de </w:t>
      </w:r>
      <w:r w:rsidR="00B40043">
        <w:rPr>
          <w:rFonts w:ascii="Palatino Linotype" w:hAnsi="Palatino Linotype" w:cs="Arial"/>
          <w:sz w:val="18"/>
        </w:rPr>
        <w:t>p</w:t>
      </w:r>
      <w:r w:rsidR="00B40043" w:rsidRPr="00861C4D">
        <w:rPr>
          <w:rFonts w:ascii="Palatino Linotype" w:hAnsi="Palatino Linotype" w:cs="Arial"/>
          <w:sz w:val="18"/>
        </w:rPr>
        <w:t xml:space="preserve">rojets </w:t>
      </w:r>
      <w:r w:rsidR="00B40043">
        <w:rPr>
          <w:rFonts w:ascii="Palatino Linotype" w:hAnsi="Palatino Linotype" w:cs="Arial"/>
          <w:sz w:val="18"/>
        </w:rPr>
        <w:t>s</w:t>
      </w:r>
      <w:r w:rsidR="00B40043" w:rsidRPr="00861C4D">
        <w:rPr>
          <w:rFonts w:ascii="Palatino Linotype" w:hAnsi="Palatino Linotype" w:cs="Arial"/>
          <w:sz w:val="18"/>
        </w:rPr>
        <w:t xml:space="preserve">cientifiques </w:t>
      </w:r>
      <w:r w:rsidRPr="00861C4D">
        <w:rPr>
          <w:rFonts w:ascii="Palatino Linotype" w:hAnsi="Palatino Linotype" w:cs="Arial"/>
          <w:sz w:val="18"/>
        </w:rPr>
        <w:t>de l’ANR vérifieront les éventuels conflit</w:t>
      </w:r>
      <w:r>
        <w:rPr>
          <w:rFonts w:ascii="Palatino Linotype" w:hAnsi="Palatino Linotype" w:cs="Arial"/>
          <w:sz w:val="18"/>
        </w:rPr>
        <w:t>s</w:t>
      </w:r>
      <w:r w:rsidRPr="00861C4D">
        <w:rPr>
          <w:rFonts w:ascii="Palatino Linotype" w:hAnsi="Palatino Linotype" w:cs="Arial"/>
          <w:sz w:val="18"/>
        </w:rPr>
        <w:t xml:space="preserve"> et/ou lien d’intérêts avant de solliciter </w:t>
      </w:r>
      <w:r w:rsidRPr="004D4A90">
        <w:rPr>
          <w:rFonts w:ascii="Palatino Linotype" w:hAnsi="Palatino Linotype" w:cs="Arial"/>
          <w:sz w:val="18"/>
        </w:rPr>
        <w:t xml:space="preserve">les experts conformément </w:t>
      </w:r>
      <w:hyperlink r:id="rId2" w:history="1">
        <w:r w:rsidRPr="004D4A90">
          <w:rPr>
            <w:rStyle w:val="Lienhypertexte"/>
            <w:rFonts w:ascii="Palatino Linotype" w:hAnsi="Palatino Linotype" w:cs="Arial"/>
            <w:sz w:val="18"/>
          </w:rPr>
          <w:t>au processus de sélection adopté</w:t>
        </w:r>
      </w:hyperlink>
      <w:r>
        <w:rPr>
          <w:rStyle w:val="Lienhypertexte"/>
          <w:rFonts w:ascii="Palatino Linotype" w:hAnsi="Palatino Linotype" w:cs="Arial"/>
          <w:sz w:val="18"/>
        </w:rPr>
        <w:t xml:space="preserve"> (</w:t>
      </w:r>
      <w:r w:rsidRPr="006C3253">
        <w:rPr>
          <w:rStyle w:val="Lienhypertexte"/>
          <w:rFonts w:ascii="Palatino Linotype" w:hAnsi="Palatino Linotype" w:cs="Arial"/>
          <w:sz w:val="18"/>
        </w:rPr>
        <w:t>https://anr.fr/fr/lanr/engagements/lintegrite-scientifique/</w:t>
      </w:r>
      <w:r>
        <w:rPr>
          <w:rStyle w:val="Lienhypertexte"/>
          <w:rFonts w:ascii="Palatino Linotype" w:hAnsi="Palatino Linotype" w:cs="Arial"/>
          <w:sz w:val="18"/>
        </w:rPr>
        <w:t>)</w:t>
      </w:r>
      <w:r w:rsidRPr="004D4A90">
        <w:rPr>
          <w:rFonts w:ascii="Palatino Linotype" w:hAnsi="Palatino Linotype" w:cs="Arial"/>
          <w:sz w:val="18"/>
        </w:rPr>
        <w:t xml:space="preserve">. </w:t>
      </w:r>
    </w:p>
    <w:p w14:paraId="348400DE" w14:textId="77777777" w:rsidR="00EF6828" w:rsidRDefault="00EF6828" w:rsidP="001B392D">
      <w:pPr>
        <w:pStyle w:val="Notedebasdepage"/>
      </w:pPr>
    </w:p>
  </w:footnote>
  <w:footnote w:id="10">
    <w:p w14:paraId="30EC72A1" w14:textId="7D976629" w:rsidR="00EF6828" w:rsidRPr="00A93CAE" w:rsidRDefault="00EF6828">
      <w:pPr>
        <w:pStyle w:val="Notedebasdepage"/>
        <w:rPr>
          <w:rFonts w:ascii="Palatino Linotype" w:hAnsi="Palatino Linotype"/>
          <w:sz w:val="18"/>
          <w:szCs w:val="18"/>
        </w:rPr>
      </w:pPr>
      <w:r>
        <w:rPr>
          <w:rStyle w:val="Appelnotedebasdep"/>
        </w:rPr>
        <w:footnoteRef/>
      </w:r>
      <w:r>
        <w:t xml:space="preserve"> </w:t>
      </w:r>
      <w:r w:rsidRPr="0072533C">
        <w:rPr>
          <w:rFonts w:ascii="Palatino Linotype" w:hAnsi="Palatino Linotype"/>
          <w:sz w:val="18"/>
          <w:szCs w:val="18"/>
        </w:rPr>
        <w:t xml:space="preserve">L’échelle de notation prévoit les notes suivantes : </w:t>
      </w:r>
      <w:r w:rsidRPr="0072533C">
        <w:rPr>
          <w:rFonts w:ascii="Palatino Linotype" w:hAnsi="Palatino Linotype"/>
          <w:b/>
          <w:bCs/>
          <w:sz w:val="18"/>
          <w:szCs w:val="18"/>
        </w:rPr>
        <w:t>A+</w:t>
      </w:r>
      <w:r w:rsidRPr="0072533C">
        <w:rPr>
          <w:rFonts w:ascii="Palatino Linotype" w:hAnsi="Palatino Linotype"/>
          <w:sz w:val="18"/>
          <w:szCs w:val="18"/>
        </w:rPr>
        <w:t xml:space="preserve"> (Excellent projet qui doit être financé en priorité), </w:t>
      </w:r>
      <w:r w:rsidRPr="0072533C">
        <w:rPr>
          <w:rFonts w:ascii="Palatino Linotype" w:hAnsi="Palatino Linotype"/>
          <w:b/>
          <w:bCs/>
          <w:sz w:val="18"/>
          <w:szCs w:val="18"/>
        </w:rPr>
        <w:t>A</w:t>
      </w:r>
      <w:r w:rsidRPr="0072533C">
        <w:rPr>
          <w:rFonts w:ascii="Palatino Linotype" w:hAnsi="Palatino Linotype"/>
          <w:sz w:val="18"/>
          <w:szCs w:val="18"/>
        </w:rPr>
        <w:t xml:space="preserve"> (Très bon projet qui doit être financé), </w:t>
      </w:r>
      <w:r w:rsidRPr="0072533C">
        <w:rPr>
          <w:rFonts w:ascii="Palatino Linotype" w:hAnsi="Palatino Linotype"/>
          <w:b/>
          <w:bCs/>
          <w:sz w:val="18"/>
          <w:szCs w:val="18"/>
        </w:rPr>
        <w:t>A-</w:t>
      </w:r>
      <w:r w:rsidRPr="0072533C">
        <w:rPr>
          <w:rFonts w:ascii="Palatino Linotype" w:hAnsi="Palatino Linotype"/>
          <w:sz w:val="18"/>
          <w:szCs w:val="18"/>
        </w:rPr>
        <w:t xml:space="preserve"> (Bon projet présentant quelques faiblesses non rédhibitoires – Projet qui peut être financé), </w:t>
      </w:r>
      <w:r w:rsidRPr="0072533C">
        <w:rPr>
          <w:rFonts w:ascii="Palatino Linotype" w:hAnsi="Palatino Linotype"/>
          <w:b/>
          <w:bCs/>
          <w:sz w:val="18"/>
          <w:szCs w:val="18"/>
        </w:rPr>
        <w:t>B+</w:t>
      </w:r>
      <w:r w:rsidRPr="0072533C">
        <w:rPr>
          <w:rFonts w:ascii="Palatino Linotype" w:hAnsi="Palatino Linotype"/>
          <w:sz w:val="18"/>
          <w:szCs w:val="18"/>
        </w:rPr>
        <w:t xml:space="preserve"> (Projet avec quelques faiblesses non rédhibitoires - Projet qui peut être financé), </w:t>
      </w:r>
      <w:r w:rsidRPr="0072533C">
        <w:rPr>
          <w:rFonts w:ascii="Palatino Linotype" w:hAnsi="Palatino Linotype"/>
          <w:b/>
          <w:bCs/>
          <w:sz w:val="18"/>
          <w:szCs w:val="18"/>
        </w:rPr>
        <w:t>B</w:t>
      </w:r>
      <w:r w:rsidRPr="0072533C">
        <w:rPr>
          <w:rFonts w:ascii="Palatino Linotype" w:hAnsi="Palatino Linotype"/>
          <w:sz w:val="18"/>
          <w:szCs w:val="18"/>
        </w:rPr>
        <w:t xml:space="preserve"> (Projet avec quelques faiblesses rédhibitoires - Projet qui ne peut pas être financé), </w:t>
      </w:r>
      <w:r w:rsidRPr="0072533C">
        <w:rPr>
          <w:rFonts w:ascii="Palatino Linotype" w:hAnsi="Palatino Linotype"/>
          <w:b/>
          <w:bCs/>
          <w:sz w:val="18"/>
          <w:szCs w:val="18"/>
        </w:rPr>
        <w:t>B-</w:t>
      </w:r>
      <w:r w:rsidRPr="0072533C">
        <w:rPr>
          <w:rFonts w:ascii="Palatino Linotype" w:hAnsi="Palatino Linotype"/>
          <w:sz w:val="18"/>
          <w:szCs w:val="18"/>
        </w:rPr>
        <w:t xml:space="preserve"> (Projet perfectible - Projet qui ne peut pas être financé) et </w:t>
      </w:r>
      <w:r w:rsidRPr="0072533C">
        <w:rPr>
          <w:rFonts w:ascii="Palatino Linotype" w:hAnsi="Palatino Linotype"/>
          <w:b/>
          <w:bCs/>
          <w:sz w:val="18"/>
          <w:szCs w:val="18"/>
        </w:rPr>
        <w:t>C</w:t>
      </w:r>
      <w:r w:rsidRPr="0072533C">
        <w:rPr>
          <w:rFonts w:ascii="Palatino Linotype" w:hAnsi="Palatino Linotype"/>
          <w:sz w:val="18"/>
          <w:szCs w:val="18"/>
        </w:rPr>
        <w:t xml:space="preserve"> (Projet à conforter – Projet qui ne peut pas être financé). Seuls les projets notés comme A+, A, A- et B+ </w:t>
      </w:r>
      <w:r>
        <w:rPr>
          <w:rFonts w:ascii="Palatino Linotype" w:hAnsi="Palatino Linotype"/>
          <w:sz w:val="18"/>
          <w:szCs w:val="18"/>
        </w:rPr>
        <w:t>pourront</w:t>
      </w:r>
      <w:r w:rsidRPr="0072533C">
        <w:rPr>
          <w:rFonts w:ascii="Palatino Linotype" w:hAnsi="Palatino Linotype"/>
          <w:sz w:val="18"/>
          <w:szCs w:val="18"/>
        </w:rPr>
        <w:t xml:space="preserve"> être considérés comme potentiellement finançables par les instances régionales.</w:t>
      </w:r>
    </w:p>
  </w:footnote>
  <w:footnote w:id="11">
    <w:p w14:paraId="4FDC002E" w14:textId="6FF3C309" w:rsidR="00EF6828" w:rsidRDefault="00EF6828">
      <w:pPr>
        <w:pStyle w:val="Notedebasdepage"/>
      </w:pPr>
      <w:r w:rsidRPr="00A93CAE">
        <w:rPr>
          <w:rFonts w:ascii="Palatino Linotype" w:hAnsi="Palatino Linotype"/>
          <w:sz w:val="18"/>
          <w:szCs w:val="18"/>
        </w:rPr>
        <w:footnoteRef/>
      </w:r>
      <w:r w:rsidRPr="00A93CAE">
        <w:rPr>
          <w:rFonts w:ascii="Palatino Linotype" w:hAnsi="Palatino Linotype"/>
          <w:sz w:val="18"/>
          <w:szCs w:val="18"/>
        </w:rPr>
        <w:t xml:space="preserve"> Les projets pouvant s’inscrire en liste complémentaires sont ceux ayant reçu une note comprise entre A+ et B+ par l’ANR. Tous projets ayant reçu une note inférieure à B+ présentant des faiblesses </w:t>
      </w:r>
      <w:r w:rsidRPr="00365753">
        <w:rPr>
          <w:rFonts w:ascii="Palatino Linotype" w:hAnsi="Palatino Linotype"/>
          <w:sz w:val="18"/>
          <w:szCs w:val="18"/>
        </w:rPr>
        <w:t>rédhibitoires</w:t>
      </w:r>
      <w:r w:rsidRPr="00A93CAE">
        <w:rPr>
          <w:rFonts w:ascii="Palatino Linotype" w:hAnsi="Palatino Linotype"/>
          <w:sz w:val="18"/>
          <w:szCs w:val="18"/>
        </w:rPr>
        <w:t xml:space="preserve"> pour le non déroulement du projet.</w:t>
      </w:r>
      <w:r>
        <w:t xml:space="preserve"> </w:t>
      </w:r>
    </w:p>
    <w:p w14:paraId="758E2B08" w14:textId="74CB0462" w:rsidR="00B40043" w:rsidRDefault="00B40043">
      <w:pPr>
        <w:pStyle w:val="Notedebasdepage"/>
      </w:pPr>
    </w:p>
    <w:p w14:paraId="2B741558" w14:textId="75D19153" w:rsidR="00B40043" w:rsidRDefault="00B40043">
      <w:pPr>
        <w:pStyle w:val="Notedebasdepage"/>
      </w:pPr>
    </w:p>
    <w:p w14:paraId="03C10ED3" w14:textId="77777777" w:rsidR="00B40043" w:rsidRDefault="00B40043">
      <w:pPr>
        <w:pStyle w:val="Notedebasdepage"/>
      </w:pPr>
    </w:p>
  </w:footnote>
  <w:footnote w:id="12">
    <w:p w14:paraId="2912256C" w14:textId="3D054862" w:rsidR="00EF6828" w:rsidRPr="00F50D76" w:rsidRDefault="00EF6828">
      <w:pPr>
        <w:pStyle w:val="Notedebasdepage"/>
        <w:rPr>
          <w:sz w:val="18"/>
          <w:szCs w:val="18"/>
        </w:rPr>
      </w:pPr>
      <w:r>
        <w:rPr>
          <w:rStyle w:val="Appelnotedebasdep"/>
        </w:rPr>
        <w:footnoteRef/>
      </w:r>
      <w:r>
        <w:t xml:space="preserve"> </w:t>
      </w:r>
      <w:r w:rsidRPr="00F50D76">
        <w:rPr>
          <w:sz w:val="18"/>
          <w:szCs w:val="18"/>
        </w:rPr>
        <w:t>Insérer et compléter le tableau suivant en haut du CV :</w:t>
      </w:r>
    </w:p>
    <w:tbl>
      <w:tblPr>
        <w:tblStyle w:val="Grilledutableau"/>
        <w:tblW w:w="8217" w:type="dxa"/>
        <w:tblLook w:val="04A0" w:firstRow="1" w:lastRow="0" w:firstColumn="1" w:lastColumn="0" w:noHBand="0" w:noVBand="1"/>
      </w:tblPr>
      <w:tblGrid>
        <w:gridCol w:w="4531"/>
        <w:gridCol w:w="3686"/>
      </w:tblGrid>
      <w:tr w:rsidR="00EF6828" w:rsidRPr="00F50D76" w14:paraId="00EFBA32" w14:textId="77777777" w:rsidTr="00F50D76">
        <w:trPr>
          <w:trHeight w:val="406"/>
        </w:trPr>
        <w:tc>
          <w:tcPr>
            <w:tcW w:w="8217" w:type="dxa"/>
            <w:gridSpan w:val="2"/>
            <w:tcBorders>
              <w:top w:val="single" w:sz="4" w:space="0" w:color="auto"/>
              <w:left w:val="single" w:sz="4" w:space="0" w:color="auto"/>
              <w:bottom w:val="single" w:sz="4" w:space="0" w:color="auto"/>
              <w:right w:val="single" w:sz="4" w:space="0" w:color="auto"/>
            </w:tcBorders>
            <w:vAlign w:val="center"/>
            <w:hideMark/>
          </w:tcPr>
          <w:p w14:paraId="383268EA" w14:textId="6B418566" w:rsidR="00EF6828" w:rsidRPr="00F50D76" w:rsidRDefault="00EF6828" w:rsidP="00F71DFE">
            <w:pPr>
              <w:spacing w:line="240" w:lineRule="auto"/>
              <w:rPr>
                <w:rFonts w:ascii="Georgia" w:hAnsi="Georgia" w:cstheme="minorBidi"/>
                <w:sz w:val="18"/>
              </w:rPr>
            </w:pPr>
            <w:r>
              <w:rPr>
                <w:rFonts w:ascii="Georgia" w:hAnsi="Georgia"/>
                <w:sz w:val="18"/>
              </w:rPr>
              <w:t>Lieu de</w:t>
            </w:r>
            <w:r w:rsidRPr="00F50D76">
              <w:rPr>
                <w:rFonts w:ascii="Georgia" w:hAnsi="Georgia"/>
                <w:sz w:val="18"/>
              </w:rPr>
              <w:t xml:space="preserve"> tra</w:t>
            </w:r>
            <w:r>
              <w:rPr>
                <w:rFonts w:ascii="Georgia" w:hAnsi="Georgia"/>
                <w:sz w:val="18"/>
              </w:rPr>
              <w:t>vail et/ou d’étude</w:t>
            </w:r>
            <w:r w:rsidRPr="00F50D76">
              <w:rPr>
                <w:rFonts w:ascii="Georgia" w:hAnsi="Georgia"/>
                <w:sz w:val="18"/>
              </w:rPr>
              <w:t xml:space="preserve"> et/ou</w:t>
            </w:r>
            <w:r>
              <w:rPr>
                <w:rFonts w:ascii="Georgia" w:hAnsi="Georgia"/>
                <w:sz w:val="18"/>
              </w:rPr>
              <w:t xml:space="preserve"> </w:t>
            </w:r>
            <w:r w:rsidRPr="00F50D76">
              <w:rPr>
                <w:rFonts w:ascii="Georgia" w:hAnsi="Georgia"/>
                <w:sz w:val="18"/>
              </w:rPr>
              <w:t>de résidence entre le 1</w:t>
            </w:r>
            <w:r w:rsidRPr="00F50D76">
              <w:rPr>
                <w:rFonts w:ascii="Georgia" w:hAnsi="Georgia"/>
                <w:sz w:val="18"/>
                <w:vertAlign w:val="superscript"/>
              </w:rPr>
              <w:t>er</w:t>
            </w:r>
            <w:r w:rsidRPr="00F50D76">
              <w:rPr>
                <w:rFonts w:ascii="Georgia" w:hAnsi="Georgia"/>
                <w:sz w:val="18"/>
              </w:rPr>
              <w:t xml:space="preserve"> mai 20</w:t>
            </w:r>
            <w:r>
              <w:rPr>
                <w:rFonts w:ascii="Georgia" w:hAnsi="Georgia"/>
                <w:sz w:val="18"/>
              </w:rPr>
              <w:t>21</w:t>
            </w:r>
            <w:r w:rsidRPr="00F50D76">
              <w:rPr>
                <w:rFonts w:ascii="Georgia" w:hAnsi="Georgia"/>
                <w:sz w:val="18"/>
              </w:rPr>
              <w:t xml:space="preserve"> et la date de démarrage du projet</w:t>
            </w:r>
          </w:p>
        </w:tc>
      </w:tr>
      <w:tr w:rsidR="00EF6828" w:rsidRPr="00F50D76" w14:paraId="76A70135" w14:textId="77777777" w:rsidTr="00F50D76">
        <w:trPr>
          <w:trHeight w:val="361"/>
        </w:trPr>
        <w:tc>
          <w:tcPr>
            <w:tcW w:w="4531" w:type="dxa"/>
            <w:tcBorders>
              <w:top w:val="single" w:sz="4" w:space="0" w:color="auto"/>
              <w:left w:val="single" w:sz="4" w:space="0" w:color="auto"/>
              <w:bottom w:val="single" w:sz="4" w:space="0" w:color="auto"/>
              <w:right w:val="single" w:sz="4" w:space="0" w:color="auto"/>
            </w:tcBorders>
            <w:vAlign w:val="center"/>
            <w:hideMark/>
          </w:tcPr>
          <w:p w14:paraId="07C6B3D5" w14:textId="4BA791CA" w:rsidR="00EF6828" w:rsidRPr="00F50D76" w:rsidRDefault="00EF6828" w:rsidP="006979F4">
            <w:pPr>
              <w:spacing w:line="240" w:lineRule="auto"/>
              <w:rPr>
                <w:rFonts w:ascii="Georgia" w:hAnsi="Georgia"/>
                <w:sz w:val="18"/>
              </w:rPr>
            </w:pPr>
            <w:r w:rsidRPr="00F50D76">
              <w:rPr>
                <w:rFonts w:ascii="Georgia" w:hAnsi="Georgia"/>
                <w:sz w:val="18"/>
              </w:rPr>
              <w:t>Du 01/05/20</w:t>
            </w:r>
            <w:r>
              <w:rPr>
                <w:rFonts w:ascii="Georgia" w:hAnsi="Georgia"/>
                <w:sz w:val="18"/>
              </w:rPr>
              <w:t>21</w:t>
            </w:r>
            <w:r w:rsidRPr="00F50D76">
              <w:rPr>
                <w:rFonts w:ascii="Georgia" w:hAnsi="Georgia"/>
                <w:sz w:val="18"/>
              </w:rPr>
              <w:t xml:space="preserve"> au </w:t>
            </w:r>
            <w:proofErr w:type="spellStart"/>
            <w:r w:rsidRPr="00F50D76">
              <w:rPr>
                <w:rFonts w:ascii="Georgia" w:hAnsi="Georgia"/>
                <w:sz w:val="18"/>
                <w:highlight w:val="lightGray"/>
              </w:rPr>
              <w:t>jj</w:t>
            </w:r>
            <w:proofErr w:type="spellEnd"/>
            <w:r w:rsidRPr="00F50D76">
              <w:rPr>
                <w:rFonts w:ascii="Georgia" w:hAnsi="Georgia"/>
                <w:sz w:val="18"/>
                <w:highlight w:val="lightGray"/>
              </w:rPr>
              <w:t>/mm/</w:t>
            </w:r>
            <w:proofErr w:type="spellStart"/>
            <w:r w:rsidRPr="00F50D76">
              <w:rPr>
                <w:rFonts w:ascii="Georgia" w:hAnsi="Georgia"/>
                <w:sz w:val="18"/>
                <w:highlight w:val="lightGray"/>
              </w:rPr>
              <w:t>aaaaa</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14:paraId="6CEDB789" w14:textId="1FCFF29A" w:rsidR="00EF6828" w:rsidRPr="00F50D76" w:rsidRDefault="00EF6828" w:rsidP="00F50D76">
            <w:pPr>
              <w:spacing w:line="240" w:lineRule="auto"/>
              <w:rPr>
                <w:rFonts w:ascii="Georgia" w:hAnsi="Georgia"/>
                <w:sz w:val="18"/>
                <w:highlight w:val="lightGray"/>
              </w:rPr>
            </w:pPr>
            <w:r w:rsidRPr="00F50D76">
              <w:rPr>
                <w:rFonts w:ascii="Georgia" w:hAnsi="Georgia"/>
                <w:sz w:val="18"/>
                <w:highlight w:val="lightGray"/>
              </w:rPr>
              <w:t>Pays</w:t>
            </w:r>
          </w:p>
        </w:tc>
      </w:tr>
      <w:tr w:rsidR="00EF6828" w:rsidRPr="00F50D76" w14:paraId="6AA28A96" w14:textId="77777777" w:rsidTr="00F50D76">
        <w:trPr>
          <w:trHeight w:val="441"/>
        </w:trPr>
        <w:tc>
          <w:tcPr>
            <w:tcW w:w="4531" w:type="dxa"/>
            <w:tcBorders>
              <w:top w:val="single" w:sz="4" w:space="0" w:color="auto"/>
              <w:left w:val="single" w:sz="4" w:space="0" w:color="auto"/>
              <w:bottom w:val="single" w:sz="4" w:space="0" w:color="auto"/>
              <w:right w:val="single" w:sz="4" w:space="0" w:color="auto"/>
            </w:tcBorders>
            <w:vAlign w:val="center"/>
            <w:hideMark/>
          </w:tcPr>
          <w:p w14:paraId="7FE64F34" w14:textId="64156636" w:rsidR="00EF6828" w:rsidRPr="00F50D76" w:rsidRDefault="00EF6828" w:rsidP="00F50D76">
            <w:pPr>
              <w:spacing w:line="240" w:lineRule="auto"/>
              <w:rPr>
                <w:rFonts w:ascii="Georgia" w:hAnsi="Georgia"/>
                <w:sz w:val="18"/>
              </w:rPr>
            </w:pPr>
            <w:r>
              <w:rPr>
                <w:rFonts w:ascii="Georgia" w:hAnsi="Georgia"/>
                <w:sz w:val="18"/>
              </w:rPr>
              <w:t>Du</w:t>
            </w:r>
            <w:r w:rsidRPr="00F50D76">
              <w:rPr>
                <w:rFonts w:ascii="Georgia" w:hAnsi="Georgia"/>
                <w:sz w:val="18"/>
              </w:rPr>
              <w:t xml:space="preserve"> </w:t>
            </w:r>
            <w:proofErr w:type="spellStart"/>
            <w:r w:rsidRPr="002F7A35">
              <w:rPr>
                <w:rFonts w:ascii="Georgia" w:hAnsi="Georgia"/>
                <w:sz w:val="18"/>
                <w:highlight w:val="lightGray"/>
              </w:rPr>
              <w:t>jj</w:t>
            </w:r>
            <w:proofErr w:type="spellEnd"/>
            <w:r w:rsidRPr="002F7A35">
              <w:rPr>
                <w:rFonts w:ascii="Georgia" w:hAnsi="Georgia"/>
                <w:sz w:val="18"/>
                <w:highlight w:val="lightGray"/>
              </w:rPr>
              <w:t>/mm/</w:t>
            </w:r>
            <w:proofErr w:type="spellStart"/>
            <w:r w:rsidRPr="002F7A35">
              <w:rPr>
                <w:rFonts w:ascii="Georgia" w:hAnsi="Georgia"/>
                <w:sz w:val="18"/>
                <w:highlight w:val="lightGray"/>
              </w:rPr>
              <w:t>aaaaa</w:t>
            </w:r>
            <w:proofErr w:type="spellEnd"/>
            <w:r w:rsidRPr="002F7A35">
              <w:rPr>
                <w:rFonts w:ascii="Georgia" w:hAnsi="Georgia"/>
                <w:sz w:val="18"/>
              </w:rPr>
              <w:t xml:space="preserve"> au </w:t>
            </w:r>
            <w:proofErr w:type="spellStart"/>
            <w:r w:rsidRPr="002F7A35">
              <w:rPr>
                <w:rFonts w:ascii="Georgia" w:hAnsi="Georgia"/>
                <w:sz w:val="18"/>
                <w:highlight w:val="lightGray"/>
              </w:rPr>
              <w:t>jj</w:t>
            </w:r>
            <w:proofErr w:type="spellEnd"/>
            <w:r w:rsidRPr="002F7A35">
              <w:rPr>
                <w:rFonts w:ascii="Georgia" w:hAnsi="Georgia"/>
                <w:sz w:val="18"/>
                <w:highlight w:val="lightGray"/>
              </w:rPr>
              <w:t>/mm/</w:t>
            </w:r>
            <w:proofErr w:type="spellStart"/>
            <w:r w:rsidRPr="002F7A35">
              <w:rPr>
                <w:rFonts w:ascii="Georgia" w:hAnsi="Georgia"/>
                <w:sz w:val="18"/>
                <w:highlight w:val="lightGray"/>
              </w:rPr>
              <w:t>aaaaa</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14:paraId="41796EF5" w14:textId="51004CDB" w:rsidR="00EF6828" w:rsidRPr="00F50D76" w:rsidRDefault="00EF6828" w:rsidP="00F50D76">
            <w:pPr>
              <w:spacing w:line="240" w:lineRule="auto"/>
              <w:rPr>
                <w:rFonts w:ascii="Georgia" w:hAnsi="Georgia"/>
                <w:sz w:val="18"/>
                <w:highlight w:val="lightGray"/>
              </w:rPr>
            </w:pPr>
            <w:r w:rsidRPr="00F50D76">
              <w:rPr>
                <w:rFonts w:ascii="Georgia" w:hAnsi="Georgia"/>
                <w:sz w:val="18"/>
                <w:highlight w:val="lightGray"/>
              </w:rPr>
              <w:t>Pays</w:t>
            </w:r>
          </w:p>
        </w:tc>
      </w:tr>
      <w:tr w:rsidR="00EF6828" w:rsidRPr="00F50D76" w14:paraId="4DA24808" w14:textId="77777777" w:rsidTr="00CF0D74">
        <w:trPr>
          <w:trHeight w:val="351"/>
        </w:trPr>
        <w:tc>
          <w:tcPr>
            <w:tcW w:w="4531" w:type="dxa"/>
            <w:tcBorders>
              <w:top w:val="single" w:sz="4" w:space="0" w:color="auto"/>
              <w:left w:val="single" w:sz="4" w:space="0" w:color="auto"/>
              <w:bottom w:val="single" w:sz="4" w:space="0" w:color="auto"/>
              <w:right w:val="single" w:sz="4" w:space="0" w:color="auto"/>
            </w:tcBorders>
            <w:vAlign w:val="center"/>
          </w:tcPr>
          <w:p w14:paraId="78AB97AC" w14:textId="1ADE221D" w:rsidR="00EF6828" w:rsidRPr="00F50D76" w:rsidRDefault="00EF6828" w:rsidP="00F50D76">
            <w:pPr>
              <w:spacing w:line="240" w:lineRule="auto"/>
              <w:rPr>
                <w:rFonts w:ascii="Georgia" w:hAnsi="Georgia"/>
                <w:sz w:val="18"/>
              </w:rPr>
            </w:pPr>
            <w:r>
              <w:rPr>
                <w:rFonts w:ascii="Georgia" w:hAnsi="Georgia"/>
                <w:sz w:val="18"/>
              </w:rPr>
              <w:t>Du</w:t>
            </w:r>
            <w:r w:rsidRPr="00F50D76">
              <w:rPr>
                <w:rFonts w:ascii="Georgia" w:hAnsi="Georgia"/>
                <w:sz w:val="18"/>
              </w:rPr>
              <w:t xml:space="preserve"> </w:t>
            </w:r>
            <w:proofErr w:type="spellStart"/>
            <w:r w:rsidRPr="002F7A35">
              <w:rPr>
                <w:rFonts w:ascii="Georgia" w:hAnsi="Georgia"/>
                <w:sz w:val="18"/>
                <w:highlight w:val="lightGray"/>
              </w:rPr>
              <w:t>jj</w:t>
            </w:r>
            <w:proofErr w:type="spellEnd"/>
            <w:r w:rsidRPr="002F7A35">
              <w:rPr>
                <w:rFonts w:ascii="Georgia" w:hAnsi="Georgia"/>
                <w:sz w:val="18"/>
                <w:highlight w:val="lightGray"/>
              </w:rPr>
              <w:t>/mm/</w:t>
            </w:r>
            <w:proofErr w:type="spellStart"/>
            <w:r w:rsidRPr="002F7A35">
              <w:rPr>
                <w:rFonts w:ascii="Georgia" w:hAnsi="Georgia"/>
                <w:sz w:val="18"/>
                <w:highlight w:val="lightGray"/>
              </w:rPr>
              <w:t>aaaaa</w:t>
            </w:r>
            <w:proofErr w:type="spellEnd"/>
            <w:r w:rsidRPr="002F7A35">
              <w:rPr>
                <w:rFonts w:ascii="Georgia" w:hAnsi="Georgia"/>
                <w:sz w:val="18"/>
              </w:rPr>
              <w:t xml:space="preserve"> au </w:t>
            </w:r>
            <w:proofErr w:type="spellStart"/>
            <w:r w:rsidRPr="002F7A35">
              <w:rPr>
                <w:rFonts w:ascii="Georgia" w:hAnsi="Georgia"/>
                <w:sz w:val="18"/>
                <w:highlight w:val="lightGray"/>
              </w:rPr>
              <w:t>jj</w:t>
            </w:r>
            <w:proofErr w:type="spellEnd"/>
            <w:r w:rsidRPr="002F7A35">
              <w:rPr>
                <w:rFonts w:ascii="Georgia" w:hAnsi="Georgia"/>
                <w:sz w:val="18"/>
                <w:highlight w:val="lightGray"/>
              </w:rPr>
              <w:t>/mm/</w:t>
            </w:r>
            <w:proofErr w:type="spellStart"/>
            <w:r w:rsidRPr="002F7A35">
              <w:rPr>
                <w:rFonts w:ascii="Georgia" w:hAnsi="Georgia"/>
                <w:sz w:val="18"/>
                <w:highlight w:val="lightGray"/>
              </w:rPr>
              <w:t>aaaaa</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69E69300" w14:textId="09530EB7" w:rsidR="00EF6828" w:rsidRPr="00F50D76" w:rsidRDefault="00EF6828" w:rsidP="00F50D76">
            <w:pPr>
              <w:spacing w:line="240" w:lineRule="auto"/>
              <w:rPr>
                <w:rFonts w:ascii="Georgia" w:hAnsi="Georgia"/>
                <w:sz w:val="18"/>
                <w:highlight w:val="lightGray"/>
              </w:rPr>
            </w:pPr>
            <w:r w:rsidRPr="00F50D76">
              <w:rPr>
                <w:rFonts w:ascii="Georgia" w:hAnsi="Georgia"/>
                <w:sz w:val="18"/>
                <w:highlight w:val="lightGray"/>
              </w:rPr>
              <w:t>Pays</w:t>
            </w:r>
          </w:p>
        </w:tc>
      </w:tr>
    </w:tbl>
    <w:p w14:paraId="3C3023AB" w14:textId="3E9D0694" w:rsidR="00EF6828" w:rsidRDefault="00EF682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E36D6" w14:textId="77777777" w:rsidR="00EF6828" w:rsidRDefault="00EF6828">
    <w:pPr>
      <w:pStyle w:val="En-tte"/>
      <w:jc w:val="right"/>
    </w:pPr>
    <w:r>
      <w:rPr>
        <w:noProof/>
        <w:lang w:eastAsia="fr-FR"/>
      </w:rPr>
      <w:drawing>
        <wp:anchor distT="0" distB="0" distL="114300" distR="114300" simplePos="0" relativeHeight="251654144" behindDoc="0" locked="0" layoutInCell="1" allowOverlap="1" wp14:anchorId="554F94DC" wp14:editId="2F21DF77">
          <wp:simplePos x="0" y="0"/>
          <wp:positionH relativeFrom="page">
            <wp:align>left</wp:align>
          </wp:positionH>
          <wp:positionV relativeFrom="paragraph">
            <wp:posOffset>-542925</wp:posOffset>
          </wp:positionV>
          <wp:extent cx="7560360" cy="1152000"/>
          <wp:effectExtent l="0" t="0" r="2540" b="0"/>
          <wp:wrapSquare wrapText="bothSides"/>
          <wp:docPr id="54" name="Image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blip>
                  <a:srcRect/>
                  <a:stretch>
                    <a:fillRect/>
                  </a:stretch>
                </pic:blipFill>
                <pic:spPr>
                  <a:xfrm>
                    <a:off x="0" y="0"/>
                    <a:ext cx="7560360" cy="115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FD4C" w14:textId="6491B32A" w:rsidR="00EF6828" w:rsidRPr="001B5E48" w:rsidRDefault="00EF6828" w:rsidP="001B5E48">
    <w:pPr>
      <w:pStyle w:val="En-tte"/>
      <w:tabs>
        <w:tab w:val="clear" w:pos="4536"/>
        <w:tab w:val="clear" w:pos="9072"/>
        <w:tab w:val="left" w:pos="8205"/>
      </w:tabs>
      <w:ind w:firstLine="5760"/>
      <w:rPr>
        <w:i/>
      </w:rPr>
    </w:pPr>
    <w:r w:rsidRPr="001B5E48">
      <w:rPr>
        <w:i/>
        <w:noProof/>
        <w:lang w:eastAsia="fr-FR"/>
      </w:rPr>
      <w:drawing>
        <wp:anchor distT="0" distB="0" distL="114300" distR="114300" simplePos="0" relativeHeight="251668480" behindDoc="0" locked="0" layoutInCell="1" allowOverlap="1" wp14:anchorId="4DCD27D8" wp14:editId="35CFDED2">
          <wp:simplePos x="0" y="0"/>
          <wp:positionH relativeFrom="page">
            <wp:align>right</wp:align>
          </wp:positionH>
          <wp:positionV relativeFrom="paragraph">
            <wp:posOffset>0</wp:posOffset>
          </wp:positionV>
          <wp:extent cx="7560360" cy="1152000"/>
          <wp:effectExtent l="0" t="0" r="2540" b="0"/>
          <wp:wrapSquare wrapText="bothSides"/>
          <wp:docPr id="55" name="Image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blip>
                  <a:srcRect/>
                  <a:stretch>
                    <a:fillRect/>
                  </a:stretch>
                </pic:blipFill>
                <pic:spPr>
                  <a:xfrm>
                    <a:off x="0" y="0"/>
                    <a:ext cx="7560360" cy="1152000"/>
                  </a:xfrm>
                  <a:prstGeom prst="rect">
                    <a:avLst/>
                  </a:prstGeom>
                </pic:spPr>
              </pic:pic>
            </a:graphicData>
          </a:graphic>
          <wp14:sizeRelH relativeFrom="margin">
            <wp14:pctWidth>0</wp14:pctWidth>
          </wp14:sizeRelH>
        </wp:anchor>
      </w:drawing>
    </w:r>
    <w:r w:rsidRPr="001B5E48">
      <w:rPr>
        <w:i/>
      </w:rPr>
      <w:t xml:space="preserve">Commission permanente du </w:t>
    </w:r>
    <w:r>
      <w:rPr>
        <w:i/>
      </w:rPr>
      <w:t>8 avril</w:t>
    </w:r>
    <w:r w:rsidRPr="001B5E48">
      <w:rPr>
        <w:i/>
      </w:rPr>
      <w:t xml:space="preserve"> 202</w:t>
    </w:r>
    <w:r>
      <w:rPr>
        <w:i/>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CC30" w14:textId="6B320A00" w:rsidR="00EF6828" w:rsidRPr="00D17FDF" w:rsidRDefault="00EF6828" w:rsidP="00DF37F7">
    <w:pPr>
      <w:pStyle w:val="En-tte"/>
    </w:pPr>
    <w:r>
      <w:rPr>
        <w:noProof/>
        <w:lang w:eastAsia="fr-FR"/>
      </w:rPr>
      <w:drawing>
        <wp:anchor distT="0" distB="0" distL="114300" distR="114300" simplePos="0" relativeHeight="251666432" behindDoc="0" locked="0" layoutInCell="1" allowOverlap="1" wp14:anchorId="71885502" wp14:editId="16322E28">
          <wp:simplePos x="0" y="0"/>
          <wp:positionH relativeFrom="page">
            <wp:posOffset>8927</wp:posOffset>
          </wp:positionH>
          <wp:positionV relativeFrom="paragraph">
            <wp:posOffset>-581025</wp:posOffset>
          </wp:positionV>
          <wp:extent cx="7560360" cy="1152000"/>
          <wp:effectExtent l="0" t="0" r="2540" b="0"/>
          <wp:wrapSquare wrapText="bothSides"/>
          <wp:docPr id="41" name="Image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blip>
                  <a:srcRect/>
                  <a:stretch>
                    <a:fillRect/>
                  </a:stretch>
                </pic:blipFill>
                <pic:spPr>
                  <a:xfrm>
                    <a:off x="0" y="0"/>
                    <a:ext cx="7560360" cy="1152000"/>
                  </a:xfrm>
                  <a:prstGeom prst="rect">
                    <a:avLst/>
                  </a:prstGeom>
                </pic:spPr>
              </pic:pic>
            </a:graphicData>
          </a:graphic>
          <wp14:sizeRelH relativeFrom="margin">
            <wp14:pctWidth>0</wp14:pctWidth>
          </wp14:sizeRelH>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A471" w14:textId="3E1CFE32" w:rsidR="00EF6828" w:rsidRDefault="00EF6828">
    <w:pPr>
      <w:pStyle w:val="En-tte"/>
      <w:tabs>
        <w:tab w:val="left" w:pos="5670"/>
      </w:tabs>
      <w:jc w:val="right"/>
    </w:pPr>
    <w:r>
      <w:rPr>
        <w:noProof/>
        <w:lang w:eastAsia="fr-FR"/>
      </w:rPr>
      <w:drawing>
        <wp:anchor distT="0" distB="0" distL="114300" distR="114300" simplePos="0" relativeHeight="251664384" behindDoc="0" locked="0" layoutInCell="1" allowOverlap="1" wp14:anchorId="6E1309AF" wp14:editId="03185A70">
          <wp:simplePos x="0" y="0"/>
          <wp:positionH relativeFrom="page">
            <wp:posOffset>672</wp:posOffset>
          </wp:positionH>
          <wp:positionV relativeFrom="paragraph">
            <wp:posOffset>-17780</wp:posOffset>
          </wp:positionV>
          <wp:extent cx="7560360" cy="1152000"/>
          <wp:effectExtent l="0" t="0" r="2540" b="0"/>
          <wp:wrapSquare wrapText="bothSides"/>
          <wp:docPr id="5" name="Image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blip>
                  <a:srcRect/>
                  <a:stretch>
                    <a:fillRect/>
                  </a:stretch>
                </pic:blipFill>
                <pic:spPr>
                  <a:xfrm>
                    <a:off x="0" y="0"/>
                    <a:ext cx="7560360" cy="1152000"/>
                  </a:xfrm>
                  <a:prstGeom prst="rect">
                    <a:avLst/>
                  </a:prstGeom>
                </pic:spPr>
              </pic:pic>
            </a:graphicData>
          </a:graphic>
        </wp:anchor>
      </w:drawing>
    </w:r>
  </w:p>
  <w:p w14:paraId="57D864FB" w14:textId="459D4997" w:rsidR="00EF6828" w:rsidRDefault="00EF6828">
    <w:pPr>
      <w:pStyle w:val="En-tte"/>
      <w:tabs>
        <w:tab w:val="left" w:pos="5670"/>
      </w:tabs>
      <w:jc w:val="right"/>
    </w:pPr>
  </w:p>
  <w:p w14:paraId="22C8F7AA" w14:textId="77777777" w:rsidR="00EF6828" w:rsidRDefault="00EF682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9DFB" w14:textId="64AF93CE" w:rsidR="00EF6828" w:rsidRDefault="00EF6828">
    <w:pPr>
      <w:pStyle w:val="En-tte"/>
    </w:pPr>
    <w:r>
      <w:rPr>
        <w:noProof/>
        <w:lang w:eastAsia="fr-FR"/>
      </w:rPr>
      <w:drawing>
        <wp:anchor distT="0" distB="0" distL="114300" distR="114300" simplePos="0" relativeHeight="251656192" behindDoc="0" locked="0" layoutInCell="1" allowOverlap="1" wp14:anchorId="3EC62AEA" wp14:editId="3041082D">
          <wp:simplePos x="0" y="0"/>
          <wp:positionH relativeFrom="page">
            <wp:posOffset>672</wp:posOffset>
          </wp:positionH>
          <wp:positionV relativeFrom="paragraph">
            <wp:posOffset>-257175</wp:posOffset>
          </wp:positionV>
          <wp:extent cx="7560360" cy="1152000"/>
          <wp:effectExtent l="0" t="0" r="2540" b="0"/>
          <wp:wrapSquare wrapText="bothSides"/>
          <wp:docPr id="6" name="Image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blip>
                  <a:srcRect/>
                  <a:stretch>
                    <a:fillRect/>
                  </a:stretch>
                </pic:blipFill>
                <pic:spPr>
                  <a:xfrm>
                    <a:off x="0" y="0"/>
                    <a:ext cx="7560360" cy="1152000"/>
                  </a:xfrm>
                  <a:prstGeom prst="rect">
                    <a:avLst/>
                  </a:prstGeom>
                </pic:spPr>
              </pic:pic>
            </a:graphicData>
          </a:graphic>
        </wp:anchor>
      </w:drawing>
    </w:r>
  </w:p>
  <w:p w14:paraId="6AA26B31" w14:textId="77777777" w:rsidR="00EF6828" w:rsidRDefault="00EF6828">
    <w:pPr>
      <w:pStyle w:val="En-tte"/>
      <w:jc w:val="right"/>
    </w:pPr>
  </w:p>
  <w:p w14:paraId="2A94D7D7" w14:textId="77777777" w:rsidR="00EF6828" w:rsidRDefault="00EF68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C3C"/>
    <w:multiLevelType w:val="hybridMultilevel"/>
    <w:tmpl w:val="F9920540"/>
    <w:lvl w:ilvl="0" w:tplc="2AFA19D2">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64DF7"/>
    <w:multiLevelType w:val="multilevel"/>
    <w:tmpl w:val="697C3C60"/>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266156"/>
    <w:multiLevelType w:val="multilevel"/>
    <w:tmpl w:val="FC9690FE"/>
    <w:lvl w:ilvl="0">
      <w:start w:val="1"/>
      <w:numFmt w:val="bullet"/>
      <w:lvlText w:val="•"/>
      <w:lvlJc w:val="left"/>
      <w:pPr>
        <w:tabs>
          <w:tab w:val="num" w:pos="720"/>
        </w:tabs>
        <w:ind w:left="720" w:hanging="360"/>
      </w:pPr>
      <w:rPr>
        <w:rFonts w:ascii="Times New Roman" w:hAnsi="Times New Roman" w:cs="Times New Roman" w:hint="default"/>
        <w:color w:val="0000FF"/>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F5837"/>
    <w:multiLevelType w:val="multilevel"/>
    <w:tmpl w:val="22F80532"/>
    <w:lvl w:ilvl="0">
      <w:numFmt w:val="bullet"/>
      <w:lvlText w:val="•"/>
      <w:lvlJc w:val="left"/>
      <w:pPr>
        <w:tabs>
          <w:tab w:val="num" w:pos="720"/>
        </w:tabs>
        <w:ind w:left="720" w:hanging="360"/>
      </w:pPr>
      <w:rPr>
        <w:rFonts w:ascii="Calibri" w:eastAsiaTheme="minorHAnsi" w:hAnsi="Calibri" w:cs="Georgia" w:hint="default"/>
        <w:color w:val="0000FF"/>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B49F4"/>
    <w:multiLevelType w:val="multilevel"/>
    <w:tmpl w:val="A5D2FACA"/>
    <w:lvl w:ilvl="0">
      <w:numFmt w:val="bullet"/>
      <w:lvlText w:val="•"/>
      <w:lvlJc w:val="left"/>
      <w:pPr>
        <w:tabs>
          <w:tab w:val="num" w:pos="720"/>
        </w:tabs>
        <w:ind w:left="720" w:hanging="360"/>
      </w:pPr>
      <w:rPr>
        <w:rFonts w:ascii="Calibri" w:eastAsiaTheme="minorHAnsi" w:hAnsi="Calibri" w:cs="Georgia" w:hint="default"/>
        <w:color w:val="0000FF"/>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BA686F"/>
    <w:multiLevelType w:val="multilevel"/>
    <w:tmpl w:val="7D72E2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15:restartNumberingAfterBreak="0">
    <w:nsid w:val="15121619"/>
    <w:multiLevelType w:val="hybridMultilevel"/>
    <w:tmpl w:val="F5FA26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CF275D"/>
    <w:multiLevelType w:val="multilevel"/>
    <w:tmpl w:val="CA467E10"/>
    <w:lvl w:ilvl="0">
      <w:start w:val="1"/>
      <w:numFmt w:val="bullet"/>
      <w:lvlText w:val=""/>
      <w:lvlJc w:val="left"/>
      <w:pPr>
        <w:tabs>
          <w:tab w:val="num" w:pos="720"/>
        </w:tabs>
        <w:ind w:left="72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464B4"/>
    <w:multiLevelType w:val="multilevel"/>
    <w:tmpl w:val="471A249E"/>
    <w:lvl w:ilvl="0">
      <w:start w:val="1"/>
      <w:numFmt w:val="bullet"/>
      <w:lvlText w:val=""/>
      <w:lvlJc w:val="left"/>
      <w:pPr>
        <w:tabs>
          <w:tab w:val="num" w:pos="720"/>
        </w:tabs>
        <w:ind w:left="720" w:hanging="360"/>
      </w:pPr>
      <w:rPr>
        <w:rFonts w:ascii="Wingdings" w:hAnsi="Wingdings" w:cs="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D6006DE"/>
    <w:multiLevelType w:val="hybridMultilevel"/>
    <w:tmpl w:val="2E4A5CE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BB3BFC"/>
    <w:multiLevelType w:val="hybridMultilevel"/>
    <w:tmpl w:val="F9586A0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C413C8"/>
    <w:multiLevelType w:val="hybridMultilevel"/>
    <w:tmpl w:val="27A66B22"/>
    <w:lvl w:ilvl="0" w:tplc="37B816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6B1BF9"/>
    <w:multiLevelType w:val="hybridMultilevel"/>
    <w:tmpl w:val="A030DBE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C70F49"/>
    <w:multiLevelType w:val="hybridMultilevel"/>
    <w:tmpl w:val="008424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037424"/>
    <w:multiLevelType w:val="multilevel"/>
    <w:tmpl w:val="CC0EBA6C"/>
    <w:lvl w:ilvl="0">
      <w:numFmt w:val="bullet"/>
      <w:lvlText w:val="•"/>
      <w:lvlJc w:val="left"/>
      <w:pPr>
        <w:tabs>
          <w:tab w:val="num" w:pos="720"/>
        </w:tabs>
        <w:ind w:left="720" w:hanging="360"/>
      </w:pPr>
      <w:rPr>
        <w:rFonts w:ascii="Calibri" w:eastAsiaTheme="minorHAnsi" w:hAnsi="Calibri" w:cs="Georgia" w:hint="default"/>
        <w:color w:val="0000FF"/>
        <w:szCs w:val="20"/>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AE6E9C"/>
    <w:multiLevelType w:val="hybridMultilevel"/>
    <w:tmpl w:val="530C6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6E756E"/>
    <w:multiLevelType w:val="hybridMultilevel"/>
    <w:tmpl w:val="B234FEE2"/>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3215F3"/>
    <w:multiLevelType w:val="hybridMultilevel"/>
    <w:tmpl w:val="936077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C8537E"/>
    <w:multiLevelType w:val="multilevel"/>
    <w:tmpl w:val="ACE8CAE4"/>
    <w:lvl w:ilvl="0">
      <w:start w:val="1"/>
      <w:numFmt w:val="bullet"/>
      <w:lvlText w:val=""/>
      <w:lvlJc w:val="left"/>
      <w:pPr>
        <w:tabs>
          <w:tab w:val="num" w:pos="720"/>
        </w:tabs>
        <w:ind w:left="720" w:hanging="360"/>
      </w:pPr>
      <w:rPr>
        <w:rFonts w:ascii="Wingdings" w:hAnsi="Wingdings" w:cs="Wingdings" w:hint="default"/>
        <w:sz w:val="1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89B77FE"/>
    <w:multiLevelType w:val="multilevel"/>
    <w:tmpl w:val="574EA652"/>
    <w:lvl w:ilvl="0">
      <w:start w:val="1"/>
      <w:numFmt w:val="bullet"/>
      <w:lvlText w:val=""/>
      <w:lvlJc w:val="left"/>
      <w:pPr>
        <w:tabs>
          <w:tab w:val="num" w:pos="720"/>
        </w:tabs>
        <w:ind w:left="720" w:hanging="360"/>
      </w:pPr>
      <w:rPr>
        <w:rFonts w:ascii="Wingdings" w:hAnsi="Wingdings" w:cs="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8A02D2"/>
    <w:multiLevelType w:val="hybridMultilevel"/>
    <w:tmpl w:val="DDBE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CC468F"/>
    <w:multiLevelType w:val="hybridMultilevel"/>
    <w:tmpl w:val="F828C2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CD60AD"/>
    <w:multiLevelType w:val="hybridMultilevel"/>
    <w:tmpl w:val="085E50F2"/>
    <w:lvl w:ilvl="0" w:tplc="A6B01C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C35CEE"/>
    <w:multiLevelType w:val="multilevel"/>
    <w:tmpl w:val="B35660B4"/>
    <w:lvl w:ilvl="0">
      <w:numFmt w:val="bullet"/>
      <w:lvlText w:val="•"/>
      <w:lvlJc w:val="left"/>
      <w:pPr>
        <w:tabs>
          <w:tab w:val="num" w:pos="720"/>
        </w:tabs>
        <w:ind w:left="720" w:hanging="360"/>
      </w:pPr>
      <w:rPr>
        <w:rFonts w:ascii="Calibri" w:eastAsiaTheme="minorHAnsi" w:hAnsi="Calibri" w:cs="Georgia" w:hint="default"/>
        <w:color w:val="0000FF"/>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8B35A1"/>
    <w:multiLevelType w:val="multilevel"/>
    <w:tmpl w:val="44AABD3C"/>
    <w:lvl w:ilvl="0">
      <w:start w:val="1"/>
      <w:numFmt w:val="bullet"/>
      <w:lvlText w:val="-"/>
      <w:lvlJc w:val="left"/>
      <w:pPr>
        <w:tabs>
          <w:tab w:val="num" w:pos="720"/>
        </w:tabs>
        <w:ind w:left="720" w:hanging="360"/>
      </w:pPr>
      <w:rPr>
        <w:rFonts w:ascii="Georgia" w:hAnsi="Georgia" w:cs="Times New Roman" w:hint="default"/>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ED591E"/>
    <w:multiLevelType w:val="hybridMultilevel"/>
    <w:tmpl w:val="243EE1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9"/>
  </w:num>
  <w:num w:numId="3">
    <w:abstractNumId w:val="2"/>
  </w:num>
  <w:num w:numId="4">
    <w:abstractNumId w:val="24"/>
  </w:num>
  <w:num w:numId="5">
    <w:abstractNumId w:val="8"/>
  </w:num>
  <w:num w:numId="6">
    <w:abstractNumId w:val="7"/>
  </w:num>
  <w:num w:numId="7">
    <w:abstractNumId w:val="18"/>
  </w:num>
  <w:num w:numId="8">
    <w:abstractNumId w:val="5"/>
  </w:num>
  <w:num w:numId="9">
    <w:abstractNumId w:val="3"/>
  </w:num>
  <w:num w:numId="10">
    <w:abstractNumId w:val="4"/>
  </w:num>
  <w:num w:numId="11">
    <w:abstractNumId w:val="23"/>
  </w:num>
  <w:num w:numId="12">
    <w:abstractNumId w:val="14"/>
  </w:num>
  <w:num w:numId="13">
    <w:abstractNumId w:val="0"/>
  </w:num>
  <w:num w:numId="14">
    <w:abstractNumId w:val="11"/>
  </w:num>
  <w:num w:numId="15">
    <w:abstractNumId w:val="22"/>
  </w:num>
  <w:num w:numId="16">
    <w:abstractNumId w:val="15"/>
  </w:num>
  <w:num w:numId="17">
    <w:abstractNumId w:val="16"/>
  </w:num>
  <w:num w:numId="18">
    <w:abstractNumId w:val="9"/>
  </w:num>
  <w:num w:numId="19">
    <w:abstractNumId w:val="10"/>
  </w:num>
  <w:num w:numId="20">
    <w:abstractNumId w:val="12"/>
  </w:num>
  <w:num w:numId="21">
    <w:abstractNumId w:val="25"/>
  </w:num>
  <w:num w:numId="22">
    <w:abstractNumId w:val="17"/>
  </w:num>
  <w:num w:numId="23">
    <w:abstractNumId w:val="13"/>
  </w:num>
  <w:num w:numId="24">
    <w:abstractNumId w:val="6"/>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81"/>
    <w:rsid w:val="00005603"/>
    <w:rsid w:val="00011759"/>
    <w:rsid w:val="000301AE"/>
    <w:rsid w:val="00034A27"/>
    <w:rsid w:val="000552E6"/>
    <w:rsid w:val="00055738"/>
    <w:rsid w:val="00064077"/>
    <w:rsid w:val="00075C80"/>
    <w:rsid w:val="00077F56"/>
    <w:rsid w:val="0008303D"/>
    <w:rsid w:val="000832DD"/>
    <w:rsid w:val="000844C2"/>
    <w:rsid w:val="0008518A"/>
    <w:rsid w:val="00086BF5"/>
    <w:rsid w:val="00087509"/>
    <w:rsid w:val="00092F50"/>
    <w:rsid w:val="000A0053"/>
    <w:rsid w:val="000B086F"/>
    <w:rsid w:val="000D128E"/>
    <w:rsid w:val="000D3B9C"/>
    <w:rsid w:val="000D4509"/>
    <w:rsid w:val="000D4E7A"/>
    <w:rsid w:val="000D59A0"/>
    <w:rsid w:val="000E0E61"/>
    <w:rsid w:val="000F1CDB"/>
    <w:rsid w:val="000F6130"/>
    <w:rsid w:val="00100452"/>
    <w:rsid w:val="00104D78"/>
    <w:rsid w:val="00105464"/>
    <w:rsid w:val="00117355"/>
    <w:rsid w:val="001224B7"/>
    <w:rsid w:val="001226A6"/>
    <w:rsid w:val="001229CF"/>
    <w:rsid w:val="00126E58"/>
    <w:rsid w:val="001311FE"/>
    <w:rsid w:val="00131F93"/>
    <w:rsid w:val="00135B98"/>
    <w:rsid w:val="00143F5A"/>
    <w:rsid w:val="001570AD"/>
    <w:rsid w:val="00166979"/>
    <w:rsid w:val="0017085B"/>
    <w:rsid w:val="00177DC7"/>
    <w:rsid w:val="0018221F"/>
    <w:rsid w:val="00196D82"/>
    <w:rsid w:val="001A3B38"/>
    <w:rsid w:val="001B23E1"/>
    <w:rsid w:val="001B392D"/>
    <w:rsid w:val="001B3B50"/>
    <w:rsid w:val="001B5E48"/>
    <w:rsid w:val="001C3BDB"/>
    <w:rsid w:val="001C3F56"/>
    <w:rsid w:val="001C781C"/>
    <w:rsid w:val="001D5281"/>
    <w:rsid w:val="001F5F29"/>
    <w:rsid w:val="001F71EF"/>
    <w:rsid w:val="001F7215"/>
    <w:rsid w:val="00200E5D"/>
    <w:rsid w:val="0021015C"/>
    <w:rsid w:val="0021739E"/>
    <w:rsid w:val="0022069D"/>
    <w:rsid w:val="00230CDB"/>
    <w:rsid w:val="00235123"/>
    <w:rsid w:val="00235613"/>
    <w:rsid w:val="0024398B"/>
    <w:rsid w:val="00260FDB"/>
    <w:rsid w:val="00262C4F"/>
    <w:rsid w:val="00262F17"/>
    <w:rsid w:val="002746F1"/>
    <w:rsid w:val="002935EF"/>
    <w:rsid w:val="002A0FCE"/>
    <w:rsid w:val="002A4391"/>
    <w:rsid w:val="002A758C"/>
    <w:rsid w:val="002B47AA"/>
    <w:rsid w:val="002B62D0"/>
    <w:rsid w:val="002C282C"/>
    <w:rsid w:val="002C324E"/>
    <w:rsid w:val="002E14BB"/>
    <w:rsid w:val="002E7895"/>
    <w:rsid w:val="002F07C1"/>
    <w:rsid w:val="002F0DE8"/>
    <w:rsid w:val="00302F52"/>
    <w:rsid w:val="00310915"/>
    <w:rsid w:val="00311155"/>
    <w:rsid w:val="003130D9"/>
    <w:rsid w:val="003246B4"/>
    <w:rsid w:val="00333E39"/>
    <w:rsid w:val="00345E11"/>
    <w:rsid w:val="003477F4"/>
    <w:rsid w:val="00361682"/>
    <w:rsid w:val="00363979"/>
    <w:rsid w:val="00365398"/>
    <w:rsid w:val="00365753"/>
    <w:rsid w:val="00370876"/>
    <w:rsid w:val="00371991"/>
    <w:rsid w:val="00381CA7"/>
    <w:rsid w:val="00383BE5"/>
    <w:rsid w:val="00384F2D"/>
    <w:rsid w:val="0039595A"/>
    <w:rsid w:val="0039638F"/>
    <w:rsid w:val="003A0487"/>
    <w:rsid w:val="003A1BBD"/>
    <w:rsid w:val="003B10D1"/>
    <w:rsid w:val="003B3BBB"/>
    <w:rsid w:val="003B7F28"/>
    <w:rsid w:val="003C336E"/>
    <w:rsid w:val="003D3FC1"/>
    <w:rsid w:val="003D6769"/>
    <w:rsid w:val="003E4B57"/>
    <w:rsid w:val="00416C51"/>
    <w:rsid w:val="004214BC"/>
    <w:rsid w:val="00423434"/>
    <w:rsid w:val="0043331A"/>
    <w:rsid w:val="00441A76"/>
    <w:rsid w:val="004479E3"/>
    <w:rsid w:val="00460040"/>
    <w:rsid w:val="00475CC8"/>
    <w:rsid w:val="0047734C"/>
    <w:rsid w:val="004810C5"/>
    <w:rsid w:val="004811EC"/>
    <w:rsid w:val="0048232B"/>
    <w:rsid w:val="00490C68"/>
    <w:rsid w:val="0049289F"/>
    <w:rsid w:val="004B3546"/>
    <w:rsid w:val="004B6B6F"/>
    <w:rsid w:val="004C290B"/>
    <w:rsid w:val="004D1BC5"/>
    <w:rsid w:val="004D39B6"/>
    <w:rsid w:val="004E1BD0"/>
    <w:rsid w:val="004E463D"/>
    <w:rsid w:val="004E6A68"/>
    <w:rsid w:val="004F4F58"/>
    <w:rsid w:val="00502B59"/>
    <w:rsid w:val="00503D93"/>
    <w:rsid w:val="005066F1"/>
    <w:rsid w:val="0051083A"/>
    <w:rsid w:val="00513E6F"/>
    <w:rsid w:val="00516516"/>
    <w:rsid w:val="00526854"/>
    <w:rsid w:val="00530278"/>
    <w:rsid w:val="00530C31"/>
    <w:rsid w:val="00532D51"/>
    <w:rsid w:val="0053539D"/>
    <w:rsid w:val="00537601"/>
    <w:rsid w:val="0054016E"/>
    <w:rsid w:val="005548CC"/>
    <w:rsid w:val="0055650C"/>
    <w:rsid w:val="00557E45"/>
    <w:rsid w:val="0056509C"/>
    <w:rsid w:val="0056602E"/>
    <w:rsid w:val="00566F4A"/>
    <w:rsid w:val="00567573"/>
    <w:rsid w:val="005720DE"/>
    <w:rsid w:val="00573F96"/>
    <w:rsid w:val="00582D65"/>
    <w:rsid w:val="005A6BD1"/>
    <w:rsid w:val="005A707C"/>
    <w:rsid w:val="005B0168"/>
    <w:rsid w:val="005B598F"/>
    <w:rsid w:val="005C03E4"/>
    <w:rsid w:val="005C1219"/>
    <w:rsid w:val="005C29DE"/>
    <w:rsid w:val="005C752D"/>
    <w:rsid w:val="005D3A0B"/>
    <w:rsid w:val="005D5F42"/>
    <w:rsid w:val="005E3365"/>
    <w:rsid w:val="005E6ADE"/>
    <w:rsid w:val="005F0996"/>
    <w:rsid w:val="00606521"/>
    <w:rsid w:val="00611A30"/>
    <w:rsid w:val="00615370"/>
    <w:rsid w:val="006244DA"/>
    <w:rsid w:val="0063012C"/>
    <w:rsid w:val="0063563D"/>
    <w:rsid w:val="0063769F"/>
    <w:rsid w:val="00640F6A"/>
    <w:rsid w:val="00644A90"/>
    <w:rsid w:val="00645283"/>
    <w:rsid w:val="00654503"/>
    <w:rsid w:val="006551A2"/>
    <w:rsid w:val="006621B4"/>
    <w:rsid w:val="006629F1"/>
    <w:rsid w:val="00663B5E"/>
    <w:rsid w:val="0066578E"/>
    <w:rsid w:val="00666570"/>
    <w:rsid w:val="00672BE1"/>
    <w:rsid w:val="0067404B"/>
    <w:rsid w:val="00674285"/>
    <w:rsid w:val="00674A45"/>
    <w:rsid w:val="00675E45"/>
    <w:rsid w:val="00686C10"/>
    <w:rsid w:val="00697001"/>
    <w:rsid w:val="006979F4"/>
    <w:rsid w:val="006A2B7D"/>
    <w:rsid w:val="006C6F69"/>
    <w:rsid w:val="006D2592"/>
    <w:rsid w:val="006D4916"/>
    <w:rsid w:val="007046FA"/>
    <w:rsid w:val="0070528A"/>
    <w:rsid w:val="00705E53"/>
    <w:rsid w:val="0070622D"/>
    <w:rsid w:val="00706E34"/>
    <w:rsid w:val="007072E4"/>
    <w:rsid w:val="007115EA"/>
    <w:rsid w:val="007118C0"/>
    <w:rsid w:val="00712B03"/>
    <w:rsid w:val="007211E2"/>
    <w:rsid w:val="00745F7A"/>
    <w:rsid w:val="00756E1C"/>
    <w:rsid w:val="00757DC5"/>
    <w:rsid w:val="007601AF"/>
    <w:rsid w:val="00761E10"/>
    <w:rsid w:val="0077476E"/>
    <w:rsid w:val="00790730"/>
    <w:rsid w:val="00793919"/>
    <w:rsid w:val="007B0E0D"/>
    <w:rsid w:val="007C02CE"/>
    <w:rsid w:val="007C0875"/>
    <w:rsid w:val="007D3941"/>
    <w:rsid w:val="007D6B57"/>
    <w:rsid w:val="007E270B"/>
    <w:rsid w:val="007E4BDD"/>
    <w:rsid w:val="007F4840"/>
    <w:rsid w:val="007F65D3"/>
    <w:rsid w:val="008010C3"/>
    <w:rsid w:val="00805681"/>
    <w:rsid w:val="00806207"/>
    <w:rsid w:val="00812891"/>
    <w:rsid w:val="0081747F"/>
    <w:rsid w:val="00817ACA"/>
    <w:rsid w:val="00831173"/>
    <w:rsid w:val="008427C9"/>
    <w:rsid w:val="008467EE"/>
    <w:rsid w:val="008671E6"/>
    <w:rsid w:val="008751B5"/>
    <w:rsid w:val="00886B63"/>
    <w:rsid w:val="00893FDA"/>
    <w:rsid w:val="008C26E0"/>
    <w:rsid w:val="008C3FBE"/>
    <w:rsid w:val="008C438E"/>
    <w:rsid w:val="008D0520"/>
    <w:rsid w:val="008D4501"/>
    <w:rsid w:val="008D69A6"/>
    <w:rsid w:val="008E0D06"/>
    <w:rsid w:val="008E51CB"/>
    <w:rsid w:val="008E6D31"/>
    <w:rsid w:val="008E7A22"/>
    <w:rsid w:val="008F2D4C"/>
    <w:rsid w:val="008F685D"/>
    <w:rsid w:val="00902569"/>
    <w:rsid w:val="00905586"/>
    <w:rsid w:val="00913EE3"/>
    <w:rsid w:val="009142EB"/>
    <w:rsid w:val="0092042F"/>
    <w:rsid w:val="0092072D"/>
    <w:rsid w:val="00930FB4"/>
    <w:rsid w:val="00934DDC"/>
    <w:rsid w:val="00935FD0"/>
    <w:rsid w:val="00936DC3"/>
    <w:rsid w:val="00942383"/>
    <w:rsid w:val="00957F05"/>
    <w:rsid w:val="00962533"/>
    <w:rsid w:val="009627F5"/>
    <w:rsid w:val="009663D5"/>
    <w:rsid w:val="00980FB9"/>
    <w:rsid w:val="00981A8F"/>
    <w:rsid w:val="00981F05"/>
    <w:rsid w:val="009845C1"/>
    <w:rsid w:val="00985714"/>
    <w:rsid w:val="00987DD3"/>
    <w:rsid w:val="009A17A8"/>
    <w:rsid w:val="009A7D09"/>
    <w:rsid w:val="009C55E5"/>
    <w:rsid w:val="009C7F4E"/>
    <w:rsid w:val="009D3B1A"/>
    <w:rsid w:val="009D4FFD"/>
    <w:rsid w:val="009D63E3"/>
    <w:rsid w:val="009E1253"/>
    <w:rsid w:val="009E18C6"/>
    <w:rsid w:val="009E36AD"/>
    <w:rsid w:val="009E730A"/>
    <w:rsid w:val="009F0271"/>
    <w:rsid w:val="009F15F0"/>
    <w:rsid w:val="009F4513"/>
    <w:rsid w:val="00A020A2"/>
    <w:rsid w:val="00A022D3"/>
    <w:rsid w:val="00A10041"/>
    <w:rsid w:val="00A1023A"/>
    <w:rsid w:val="00A1243D"/>
    <w:rsid w:val="00A1600D"/>
    <w:rsid w:val="00A16430"/>
    <w:rsid w:val="00A2336D"/>
    <w:rsid w:val="00A24770"/>
    <w:rsid w:val="00A315BA"/>
    <w:rsid w:val="00A31A4F"/>
    <w:rsid w:val="00A33AAE"/>
    <w:rsid w:val="00A41484"/>
    <w:rsid w:val="00A43AFF"/>
    <w:rsid w:val="00A537DF"/>
    <w:rsid w:val="00A55A03"/>
    <w:rsid w:val="00A57A3E"/>
    <w:rsid w:val="00A64235"/>
    <w:rsid w:val="00A65A81"/>
    <w:rsid w:val="00A65BE2"/>
    <w:rsid w:val="00A66382"/>
    <w:rsid w:val="00A72E40"/>
    <w:rsid w:val="00A754EF"/>
    <w:rsid w:val="00A75BC3"/>
    <w:rsid w:val="00A76E95"/>
    <w:rsid w:val="00A77D31"/>
    <w:rsid w:val="00A84DA4"/>
    <w:rsid w:val="00A92093"/>
    <w:rsid w:val="00A93CAE"/>
    <w:rsid w:val="00A93D58"/>
    <w:rsid w:val="00AA6121"/>
    <w:rsid w:val="00AB2056"/>
    <w:rsid w:val="00AB28D1"/>
    <w:rsid w:val="00AB4346"/>
    <w:rsid w:val="00AB5532"/>
    <w:rsid w:val="00AC18B1"/>
    <w:rsid w:val="00AC7418"/>
    <w:rsid w:val="00AD41EC"/>
    <w:rsid w:val="00AE0A1B"/>
    <w:rsid w:val="00AF5A4C"/>
    <w:rsid w:val="00B0145B"/>
    <w:rsid w:val="00B017B6"/>
    <w:rsid w:val="00B06596"/>
    <w:rsid w:val="00B13CA8"/>
    <w:rsid w:val="00B155F6"/>
    <w:rsid w:val="00B23830"/>
    <w:rsid w:val="00B24CFB"/>
    <w:rsid w:val="00B2699F"/>
    <w:rsid w:val="00B34F8A"/>
    <w:rsid w:val="00B40043"/>
    <w:rsid w:val="00B44F4C"/>
    <w:rsid w:val="00B51940"/>
    <w:rsid w:val="00B51D77"/>
    <w:rsid w:val="00B5587A"/>
    <w:rsid w:val="00B605C0"/>
    <w:rsid w:val="00B67312"/>
    <w:rsid w:val="00B674BD"/>
    <w:rsid w:val="00B72BBD"/>
    <w:rsid w:val="00B74EFF"/>
    <w:rsid w:val="00B75206"/>
    <w:rsid w:val="00B77A3A"/>
    <w:rsid w:val="00B91CCC"/>
    <w:rsid w:val="00B93328"/>
    <w:rsid w:val="00BA4250"/>
    <w:rsid w:val="00BA5637"/>
    <w:rsid w:val="00BB1CB9"/>
    <w:rsid w:val="00BC371B"/>
    <w:rsid w:val="00BC4CAD"/>
    <w:rsid w:val="00BC6E77"/>
    <w:rsid w:val="00BD2023"/>
    <w:rsid w:val="00BD5498"/>
    <w:rsid w:val="00BE1E21"/>
    <w:rsid w:val="00BE6055"/>
    <w:rsid w:val="00C06BAD"/>
    <w:rsid w:val="00C1499A"/>
    <w:rsid w:val="00C249EA"/>
    <w:rsid w:val="00C36018"/>
    <w:rsid w:val="00C5714D"/>
    <w:rsid w:val="00C67B14"/>
    <w:rsid w:val="00C71A44"/>
    <w:rsid w:val="00C73C39"/>
    <w:rsid w:val="00C74C69"/>
    <w:rsid w:val="00C8067D"/>
    <w:rsid w:val="00C81978"/>
    <w:rsid w:val="00C87E48"/>
    <w:rsid w:val="00CA12DD"/>
    <w:rsid w:val="00CA4557"/>
    <w:rsid w:val="00CA5783"/>
    <w:rsid w:val="00CB165D"/>
    <w:rsid w:val="00CB3CE7"/>
    <w:rsid w:val="00CB4DCF"/>
    <w:rsid w:val="00CC048A"/>
    <w:rsid w:val="00CE17F0"/>
    <w:rsid w:val="00CE2800"/>
    <w:rsid w:val="00CE3193"/>
    <w:rsid w:val="00CE75E5"/>
    <w:rsid w:val="00CF0D74"/>
    <w:rsid w:val="00CF4C07"/>
    <w:rsid w:val="00CF68EA"/>
    <w:rsid w:val="00D0083F"/>
    <w:rsid w:val="00D024F6"/>
    <w:rsid w:val="00D058D3"/>
    <w:rsid w:val="00D154DE"/>
    <w:rsid w:val="00D15BEA"/>
    <w:rsid w:val="00D27CBE"/>
    <w:rsid w:val="00D33943"/>
    <w:rsid w:val="00D33FB9"/>
    <w:rsid w:val="00D401A3"/>
    <w:rsid w:val="00D55EB9"/>
    <w:rsid w:val="00D65B08"/>
    <w:rsid w:val="00D67E52"/>
    <w:rsid w:val="00D742F0"/>
    <w:rsid w:val="00D749B6"/>
    <w:rsid w:val="00D7580F"/>
    <w:rsid w:val="00D814E9"/>
    <w:rsid w:val="00D912D2"/>
    <w:rsid w:val="00D91686"/>
    <w:rsid w:val="00DD4C30"/>
    <w:rsid w:val="00DE0311"/>
    <w:rsid w:val="00DF37F7"/>
    <w:rsid w:val="00DF65B5"/>
    <w:rsid w:val="00E017A0"/>
    <w:rsid w:val="00E0778F"/>
    <w:rsid w:val="00E24851"/>
    <w:rsid w:val="00E2708F"/>
    <w:rsid w:val="00E3772B"/>
    <w:rsid w:val="00E4204D"/>
    <w:rsid w:val="00E47101"/>
    <w:rsid w:val="00E60252"/>
    <w:rsid w:val="00E65C36"/>
    <w:rsid w:val="00E738B2"/>
    <w:rsid w:val="00E75149"/>
    <w:rsid w:val="00E86EE2"/>
    <w:rsid w:val="00E908DF"/>
    <w:rsid w:val="00E923C8"/>
    <w:rsid w:val="00E97D8C"/>
    <w:rsid w:val="00EB17E4"/>
    <w:rsid w:val="00EC122D"/>
    <w:rsid w:val="00EC4187"/>
    <w:rsid w:val="00EC6C3D"/>
    <w:rsid w:val="00ED114A"/>
    <w:rsid w:val="00ED704D"/>
    <w:rsid w:val="00EE491D"/>
    <w:rsid w:val="00EF1DAB"/>
    <w:rsid w:val="00EF6828"/>
    <w:rsid w:val="00F11973"/>
    <w:rsid w:val="00F14F75"/>
    <w:rsid w:val="00F16193"/>
    <w:rsid w:val="00F30A87"/>
    <w:rsid w:val="00F35611"/>
    <w:rsid w:val="00F376C6"/>
    <w:rsid w:val="00F50D76"/>
    <w:rsid w:val="00F56D84"/>
    <w:rsid w:val="00F63A31"/>
    <w:rsid w:val="00F67414"/>
    <w:rsid w:val="00F71950"/>
    <w:rsid w:val="00F71DFE"/>
    <w:rsid w:val="00F7585B"/>
    <w:rsid w:val="00FA2D4E"/>
    <w:rsid w:val="00FA3DAD"/>
    <w:rsid w:val="00FA444E"/>
    <w:rsid w:val="00FC0DBD"/>
    <w:rsid w:val="00FC0F8A"/>
    <w:rsid w:val="00FD4893"/>
    <w:rsid w:val="00FE06FB"/>
    <w:rsid w:val="00FE6213"/>
    <w:rsid w:val="00FF0928"/>
    <w:rsid w:val="00FF2849"/>
    <w:rsid w:val="00FF3F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B60F4C"/>
  <w15:docId w15:val="{39FF16C9-6D82-48AF-88E3-53AFB6F7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SimSun" w:hAnsi="Georgia"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eastAsia="Times New Roman" w:cs="Georgia"/>
      <w:szCs w:val="18"/>
      <w:lang w:bidi="ar-SA"/>
    </w:rPr>
  </w:style>
  <w:style w:type="paragraph" w:styleId="Titre1">
    <w:name w:val="heading 1"/>
    <w:basedOn w:val="Normal"/>
    <w:next w:val="Normal"/>
    <w:qFormat/>
    <w:pPr>
      <w:keepNext/>
      <w:numPr>
        <w:numId w:val="1"/>
      </w:numPr>
      <w:spacing w:before="240" w:after="60"/>
      <w:outlineLvl w:val="0"/>
    </w:pPr>
    <w:rPr>
      <w:rFonts w:ascii="Trebuchet MS" w:hAnsi="Trebuchet MS" w:cs="Arial"/>
      <w:b/>
      <w:bCs/>
      <w:sz w:val="32"/>
      <w:szCs w:val="32"/>
    </w:rPr>
  </w:style>
  <w:style w:type="paragraph" w:styleId="Titre2">
    <w:name w:val="heading 2"/>
    <w:basedOn w:val="Normal"/>
    <w:next w:val="Normal"/>
    <w:qFormat/>
    <w:pPr>
      <w:keepNext/>
      <w:numPr>
        <w:ilvl w:val="1"/>
        <w:numId w:val="1"/>
      </w:numPr>
      <w:spacing w:before="240" w:after="60"/>
      <w:outlineLvl w:val="1"/>
    </w:pPr>
    <w:rPr>
      <w:rFonts w:ascii="Trebuchet MS" w:hAnsi="Trebuchet MS" w:cs="Arial"/>
      <w:b/>
      <w:bCs/>
      <w:i/>
      <w:iCs/>
      <w:sz w:val="28"/>
      <w:szCs w:val="28"/>
    </w:rPr>
  </w:style>
  <w:style w:type="paragraph" w:styleId="Titre3">
    <w:name w:val="heading 3"/>
    <w:basedOn w:val="Normal"/>
    <w:next w:val="Normal"/>
    <w:qFormat/>
    <w:pPr>
      <w:keepNext/>
      <w:numPr>
        <w:ilvl w:val="2"/>
        <w:numId w:val="1"/>
      </w:numPr>
      <w:spacing w:before="240" w:after="60"/>
      <w:outlineLvl w:val="2"/>
    </w:pPr>
    <w:rPr>
      <w:rFonts w:ascii="Trebuchet MS" w:hAnsi="Trebuchet M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Wingdings" w:eastAsia="Times New Roman" w:hAnsi="Wingdings" w:cs="Tahoma"/>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Wingdings" w:hAnsi="Wingdings" w:cs="Wingdings"/>
      <w:sz w:val="16"/>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color w:val="00000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hAnsi="Times New Roman" w:cs="Times New Roman"/>
      <w:color w:val="0000FF"/>
      <w:szCs w:val="20"/>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3z0">
    <w:name w:val="WW8Num13z0"/>
    <w:qFormat/>
    <w:rPr>
      <w:rFonts w:ascii="Georgia" w:eastAsia="Times New Roman" w:hAnsi="Georgia" w:cs="Times New Roman"/>
      <w:szCs w:val="2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Wingdings" w:hAnsi="Wingdings" w:cs="Wingdings"/>
      <w:sz w:val="16"/>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Georgia" w:eastAsia="Times New Roman" w:hAnsi="Georgia"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Georgia" w:eastAsia="Times New Roman" w:hAnsi="Georgia"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20z0">
    <w:name w:val="WW8Num20z0"/>
    <w:qFormat/>
    <w:rPr>
      <w:rFonts w:ascii="Georgia" w:eastAsia="Times New Roman" w:hAnsi="Georgia" w:cs="Times New Roman"/>
      <w:b/>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sz w:val="16"/>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sz w:val="16"/>
      <w:szCs w:val="2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rPr>
  </w:style>
  <w:style w:type="character" w:customStyle="1" w:styleId="WW8Num25z0">
    <w:name w:val="WW8Num25z0"/>
    <w:qFormat/>
    <w:rPr>
      <w:rFonts w:ascii="Symbol" w:hAnsi="Symbol" w:cs="Symbol"/>
    </w:rPr>
  </w:style>
  <w:style w:type="character" w:styleId="Numrodepage">
    <w:name w:val="page number"/>
    <w:basedOn w:val="Policepardfaut"/>
  </w:style>
  <w:style w:type="character" w:customStyle="1" w:styleId="Caractresdenotedebasdepage">
    <w:name w:val="Caractères de note de bas de page"/>
    <w:basedOn w:val="Policepardfaut"/>
    <w:qFormat/>
    <w:rPr>
      <w:vertAlign w:val="superscript"/>
    </w:rPr>
  </w:style>
  <w:style w:type="character" w:customStyle="1" w:styleId="LienInternet">
    <w:name w:val="Lien Internet"/>
    <w:basedOn w:val="Policepardfaut"/>
    <w:rPr>
      <w:color w:val="0000FF"/>
      <w:u w:val="single"/>
    </w:rPr>
  </w:style>
  <w:style w:type="character" w:customStyle="1" w:styleId="Accentuationforte">
    <w:name w:val="Accentuation forte"/>
    <w:basedOn w:val="Policepardfaut"/>
    <w:qFormat/>
    <w:rPr>
      <w:b/>
      <w:bCs/>
    </w:rPr>
  </w:style>
  <w:style w:type="character" w:customStyle="1" w:styleId="spipsurligne">
    <w:name w:val="spip_surligne"/>
    <w:basedOn w:val="Policepardfaut"/>
    <w:qFormat/>
  </w:style>
  <w:style w:type="character" w:customStyle="1" w:styleId="bold">
    <w:name w:val="bold"/>
    <w:basedOn w:val="Policepardfaut"/>
    <w:qFormat/>
  </w:style>
  <w:style w:type="character" w:customStyle="1" w:styleId="Ancredenotedebasdepage">
    <w:name w:val="Ancre de note de bas de page"/>
    <w:rPr>
      <w:vertAlign w:val="superscript"/>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ascii="Times New Roman" w:hAnsi="Times New Roman" w:cs="Mangal"/>
      <w:sz w:val="24"/>
    </w:rPr>
  </w:style>
  <w:style w:type="paragraph" w:styleId="Lgende">
    <w:name w:val="caption"/>
    <w:basedOn w:val="Normal"/>
    <w:qFormat/>
    <w:pPr>
      <w:suppressLineNumbers/>
      <w:spacing w:before="120" w:after="120"/>
    </w:pPr>
    <w:rPr>
      <w:rFonts w:ascii="Times New Roman" w:hAnsi="Times New Roman" w:cs="Mangal"/>
      <w:i/>
      <w:iCs/>
      <w:sz w:val="24"/>
      <w:szCs w:val="24"/>
    </w:rPr>
  </w:style>
  <w:style w:type="paragraph" w:customStyle="1" w:styleId="Index">
    <w:name w:val="Index"/>
    <w:basedOn w:val="Normal"/>
    <w:qFormat/>
    <w:pPr>
      <w:suppressLineNumbers/>
    </w:pPr>
    <w:rPr>
      <w:rFonts w:ascii="Times New Roman" w:hAnsi="Times New Roman" w:cs="Mangal"/>
      <w:sz w:val="24"/>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par">
    <w:name w:val="par"/>
    <w:basedOn w:val="Normal"/>
    <w:qFormat/>
    <w:pPr>
      <w:spacing w:before="280" w:after="280" w:line="240" w:lineRule="auto"/>
    </w:pPr>
    <w:rPr>
      <w:rFonts w:ascii="Verdana" w:hAnsi="Verdana" w:cs="Verdana"/>
      <w:color w:val="808080"/>
      <w:szCs w:val="20"/>
    </w:rPr>
  </w:style>
  <w:style w:type="paragraph" w:customStyle="1" w:styleId="soustitre">
    <w:name w:val="soustitre"/>
    <w:basedOn w:val="Normal"/>
    <w:qFormat/>
    <w:pPr>
      <w:spacing w:before="280" w:after="280" w:line="240" w:lineRule="atLeast"/>
      <w:jc w:val="left"/>
    </w:pPr>
    <w:rPr>
      <w:rFonts w:ascii="Arial" w:hAnsi="Arial" w:cs="Arial"/>
      <w:b/>
      <w:bCs/>
      <w:i/>
      <w:iCs/>
      <w:color w:val="003399"/>
      <w:sz w:val="21"/>
      <w:szCs w:val="21"/>
    </w:rPr>
  </w:style>
  <w:style w:type="paragraph" w:styleId="Notedebasdepage">
    <w:name w:val="footnote text"/>
    <w:basedOn w:val="Normal"/>
    <w:link w:val="NotedebasdepageCar"/>
    <w:uiPriority w:val="99"/>
    <w:rPr>
      <w:szCs w:val="20"/>
    </w:rPr>
  </w:style>
  <w:style w:type="paragraph" w:customStyle="1" w:styleId="SignatairefonctionAprs12pt">
    <w:name w:val="Signataire fonction + Après : 12 pt"/>
    <w:basedOn w:val="Normal"/>
    <w:qFormat/>
    <w:pPr>
      <w:tabs>
        <w:tab w:val="left" w:pos="1440"/>
      </w:tabs>
      <w:spacing w:before="120" w:after="240" w:line="360" w:lineRule="auto"/>
      <w:jc w:val="left"/>
    </w:pPr>
    <w:rPr>
      <w:rFonts w:ascii="Trebuchet MS" w:hAnsi="Trebuchet MS" w:cs="Trebuchet MS"/>
      <w:b/>
    </w:rPr>
  </w:style>
  <w:style w:type="paragraph" w:styleId="NormalWeb">
    <w:name w:val="Normal (Web)"/>
    <w:basedOn w:val="Normal"/>
    <w:uiPriority w:val="99"/>
    <w:qFormat/>
    <w:pPr>
      <w:spacing w:before="280" w:after="280" w:line="240" w:lineRule="auto"/>
      <w:jc w:val="left"/>
    </w:pPr>
    <w:rPr>
      <w:rFonts w:ascii="Times New Roman" w:hAnsi="Times New Roman" w:cs="Times New Roman"/>
      <w:sz w:val="24"/>
      <w:szCs w:val="24"/>
    </w:rPr>
  </w:style>
  <w:style w:type="paragraph" w:styleId="Textedebulles">
    <w:name w:val="Balloon Text"/>
    <w:basedOn w:val="Normal"/>
    <w:qFormat/>
    <w:rPr>
      <w:rFonts w:ascii="Tahoma" w:hAnsi="Tahoma" w:cs="Tahoma"/>
      <w:sz w:val="16"/>
      <w:szCs w:val="1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character" w:styleId="Marquedecommentaire">
    <w:name w:val="annotation reference"/>
    <w:basedOn w:val="Policepardfaut"/>
    <w:uiPriority w:val="99"/>
    <w:semiHidden/>
    <w:unhideWhenUsed/>
    <w:rsid w:val="008751B5"/>
    <w:rPr>
      <w:sz w:val="16"/>
      <w:szCs w:val="16"/>
    </w:rPr>
  </w:style>
  <w:style w:type="paragraph" w:styleId="Commentaire">
    <w:name w:val="annotation text"/>
    <w:basedOn w:val="Normal"/>
    <w:link w:val="CommentaireCar"/>
    <w:uiPriority w:val="99"/>
    <w:unhideWhenUsed/>
    <w:rsid w:val="008751B5"/>
    <w:pPr>
      <w:spacing w:line="240" w:lineRule="auto"/>
    </w:pPr>
    <w:rPr>
      <w:szCs w:val="20"/>
    </w:rPr>
  </w:style>
  <w:style w:type="character" w:customStyle="1" w:styleId="CommentaireCar">
    <w:name w:val="Commentaire Car"/>
    <w:basedOn w:val="Policepardfaut"/>
    <w:link w:val="Commentaire"/>
    <w:uiPriority w:val="99"/>
    <w:rsid w:val="008751B5"/>
    <w:rPr>
      <w:rFonts w:eastAsia="Times New Roman" w:cs="Georgia"/>
      <w:szCs w:val="20"/>
      <w:lang w:bidi="ar-SA"/>
    </w:rPr>
  </w:style>
  <w:style w:type="paragraph" w:styleId="Objetducommentaire">
    <w:name w:val="annotation subject"/>
    <w:basedOn w:val="Commentaire"/>
    <w:next w:val="Commentaire"/>
    <w:link w:val="ObjetducommentaireCar"/>
    <w:uiPriority w:val="99"/>
    <w:semiHidden/>
    <w:unhideWhenUsed/>
    <w:rsid w:val="008751B5"/>
    <w:rPr>
      <w:b/>
      <w:bCs/>
    </w:rPr>
  </w:style>
  <w:style w:type="character" w:customStyle="1" w:styleId="ObjetducommentaireCar">
    <w:name w:val="Objet du commentaire Car"/>
    <w:basedOn w:val="CommentaireCar"/>
    <w:link w:val="Objetducommentaire"/>
    <w:uiPriority w:val="99"/>
    <w:semiHidden/>
    <w:rsid w:val="008751B5"/>
    <w:rPr>
      <w:rFonts w:eastAsia="Times New Roman" w:cs="Georgia"/>
      <w:b/>
      <w:bCs/>
      <w:szCs w:val="20"/>
      <w:lang w:bidi="ar-SA"/>
    </w:rPr>
  </w:style>
  <w:style w:type="paragraph" w:styleId="Paragraphedeliste">
    <w:name w:val="List Paragraph"/>
    <w:basedOn w:val="Normal"/>
    <w:uiPriority w:val="34"/>
    <w:qFormat/>
    <w:rsid w:val="00034A27"/>
    <w:pPr>
      <w:ind w:left="720"/>
      <w:contextualSpacing/>
    </w:pPr>
  </w:style>
  <w:style w:type="character" w:customStyle="1" w:styleId="NotedebasdepageCar">
    <w:name w:val="Note de bas de page Car"/>
    <w:basedOn w:val="Policepardfaut"/>
    <w:link w:val="Notedebasdepage"/>
    <w:uiPriority w:val="99"/>
    <w:rsid w:val="00FE06FB"/>
    <w:rPr>
      <w:rFonts w:eastAsia="Times New Roman" w:cs="Georgia"/>
      <w:szCs w:val="20"/>
      <w:lang w:bidi="ar-SA"/>
    </w:rPr>
  </w:style>
  <w:style w:type="character" w:styleId="Appelnotedebasdep">
    <w:name w:val="footnote reference"/>
    <w:basedOn w:val="Policepardfaut"/>
    <w:uiPriority w:val="99"/>
    <w:unhideWhenUsed/>
    <w:rsid w:val="00FE06FB"/>
    <w:rPr>
      <w:vertAlign w:val="superscript"/>
    </w:rPr>
  </w:style>
  <w:style w:type="character" w:styleId="Lienhypertexte">
    <w:name w:val="Hyperlink"/>
    <w:basedOn w:val="Policepardfaut"/>
    <w:uiPriority w:val="99"/>
    <w:unhideWhenUsed/>
    <w:rsid w:val="00FE06FB"/>
    <w:rPr>
      <w:color w:val="0563C1" w:themeColor="hyperlink"/>
      <w:u w:val="single"/>
    </w:rPr>
  </w:style>
  <w:style w:type="character" w:customStyle="1" w:styleId="PieddepageCar">
    <w:name w:val="Pied de page Car"/>
    <w:basedOn w:val="Policepardfaut"/>
    <w:link w:val="Pieddepage"/>
    <w:uiPriority w:val="99"/>
    <w:rsid w:val="004C290B"/>
    <w:rPr>
      <w:rFonts w:eastAsia="Times New Roman" w:cs="Georgia"/>
      <w:szCs w:val="18"/>
      <w:lang w:bidi="ar-SA"/>
    </w:rPr>
  </w:style>
  <w:style w:type="character" w:customStyle="1" w:styleId="En-tteCar">
    <w:name w:val="En-tête Car"/>
    <w:basedOn w:val="Policepardfaut"/>
    <w:link w:val="En-tte"/>
    <w:uiPriority w:val="99"/>
    <w:rsid w:val="004C290B"/>
    <w:rPr>
      <w:rFonts w:eastAsia="Times New Roman" w:cs="Georgia"/>
      <w:szCs w:val="18"/>
      <w:lang w:bidi="ar-SA"/>
    </w:rPr>
  </w:style>
  <w:style w:type="table" w:styleId="Grilledutableau">
    <w:name w:val="Table Grid"/>
    <w:basedOn w:val="TableauNormal"/>
    <w:uiPriority w:val="39"/>
    <w:rsid w:val="00F50D76"/>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979F4"/>
    <w:rPr>
      <w:rFonts w:eastAsia="Times New Roman" w:cs="Georgia"/>
      <w:szCs w:val="18"/>
      <w:lang w:bidi="ar-SA"/>
    </w:rPr>
  </w:style>
  <w:style w:type="character" w:styleId="Lienhypertextesuivivisit">
    <w:name w:val="FollowedHyperlink"/>
    <w:basedOn w:val="Policepardfaut"/>
    <w:uiPriority w:val="99"/>
    <w:semiHidden/>
    <w:unhideWhenUsed/>
    <w:rsid w:val="00460040"/>
    <w:rPr>
      <w:color w:val="954F72" w:themeColor="followedHyperlink"/>
      <w:u w:val="single"/>
    </w:rPr>
  </w:style>
  <w:style w:type="character" w:customStyle="1" w:styleId="markedcontent">
    <w:name w:val="markedcontent"/>
    <w:basedOn w:val="Policepardfaut"/>
    <w:rsid w:val="002A0FCE"/>
  </w:style>
  <w:style w:type="character" w:customStyle="1" w:styleId="ui-provider">
    <w:name w:val="ui-provider"/>
    <w:basedOn w:val="Policepardfaut"/>
    <w:rsid w:val="00D8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01864">
      <w:bodyDiv w:val="1"/>
      <w:marLeft w:val="0"/>
      <w:marRight w:val="0"/>
      <w:marTop w:val="0"/>
      <w:marBottom w:val="0"/>
      <w:divBdr>
        <w:top w:val="none" w:sz="0" w:space="0" w:color="auto"/>
        <w:left w:val="none" w:sz="0" w:space="0" w:color="auto"/>
        <w:bottom w:val="none" w:sz="0" w:space="0" w:color="auto"/>
        <w:right w:val="none" w:sz="0" w:space="0" w:color="auto"/>
      </w:divBdr>
    </w:div>
    <w:div w:id="715473496">
      <w:bodyDiv w:val="1"/>
      <w:marLeft w:val="0"/>
      <w:marRight w:val="0"/>
      <w:marTop w:val="0"/>
      <w:marBottom w:val="0"/>
      <w:divBdr>
        <w:top w:val="none" w:sz="0" w:space="0" w:color="auto"/>
        <w:left w:val="none" w:sz="0" w:space="0" w:color="auto"/>
        <w:bottom w:val="none" w:sz="0" w:space="0" w:color="auto"/>
        <w:right w:val="none" w:sz="0" w:space="0" w:color="auto"/>
      </w:divBdr>
    </w:div>
    <w:div w:id="739450435">
      <w:bodyDiv w:val="1"/>
      <w:marLeft w:val="0"/>
      <w:marRight w:val="0"/>
      <w:marTop w:val="0"/>
      <w:marBottom w:val="0"/>
      <w:divBdr>
        <w:top w:val="none" w:sz="0" w:space="0" w:color="auto"/>
        <w:left w:val="none" w:sz="0" w:space="0" w:color="auto"/>
        <w:bottom w:val="none" w:sz="0" w:space="0" w:color="auto"/>
        <w:right w:val="none" w:sz="0" w:space="0" w:color="auto"/>
      </w:divBdr>
    </w:div>
    <w:div w:id="744380126">
      <w:bodyDiv w:val="1"/>
      <w:marLeft w:val="0"/>
      <w:marRight w:val="0"/>
      <w:marTop w:val="0"/>
      <w:marBottom w:val="0"/>
      <w:divBdr>
        <w:top w:val="none" w:sz="0" w:space="0" w:color="auto"/>
        <w:left w:val="none" w:sz="0" w:space="0" w:color="auto"/>
        <w:bottom w:val="none" w:sz="0" w:space="0" w:color="auto"/>
        <w:right w:val="none" w:sz="0" w:space="0" w:color="auto"/>
      </w:divBdr>
    </w:div>
    <w:div w:id="838740821">
      <w:bodyDiv w:val="1"/>
      <w:marLeft w:val="0"/>
      <w:marRight w:val="0"/>
      <w:marTop w:val="0"/>
      <w:marBottom w:val="0"/>
      <w:divBdr>
        <w:top w:val="none" w:sz="0" w:space="0" w:color="auto"/>
        <w:left w:val="none" w:sz="0" w:space="0" w:color="auto"/>
        <w:bottom w:val="none" w:sz="0" w:space="0" w:color="auto"/>
        <w:right w:val="none" w:sz="0" w:space="0" w:color="auto"/>
      </w:divBdr>
    </w:div>
    <w:div w:id="1154834026">
      <w:bodyDiv w:val="1"/>
      <w:marLeft w:val="0"/>
      <w:marRight w:val="0"/>
      <w:marTop w:val="0"/>
      <w:marBottom w:val="0"/>
      <w:divBdr>
        <w:top w:val="none" w:sz="0" w:space="0" w:color="auto"/>
        <w:left w:val="none" w:sz="0" w:space="0" w:color="auto"/>
        <w:bottom w:val="none" w:sz="0" w:space="0" w:color="auto"/>
        <w:right w:val="none" w:sz="0" w:space="0" w:color="auto"/>
      </w:divBdr>
    </w:div>
    <w:div w:id="1356543006">
      <w:bodyDiv w:val="1"/>
      <w:marLeft w:val="0"/>
      <w:marRight w:val="0"/>
      <w:marTop w:val="0"/>
      <w:marBottom w:val="0"/>
      <w:divBdr>
        <w:top w:val="none" w:sz="0" w:space="0" w:color="auto"/>
        <w:left w:val="none" w:sz="0" w:space="0" w:color="auto"/>
        <w:bottom w:val="none" w:sz="0" w:space="0" w:color="auto"/>
        <w:right w:val="none" w:sz="0" w:space="0" w:color="auto"/>
      </w:divBdr>
    </w:div>
    <w:div w:id="1371801438">
      <w:bodyDiv w:val="1"/>
      <w:marLeft w:val="0"/>
      <w:marRight w:val="0"/>
      <w:marTop w:val="0"/>
      <w:marBottom w:val="0"/>
      <w:divBdr>
        <w:top w:val="none" w:sz="0" w:space="0" w:color="auto"/>
        <w:left w:val="none" w:sz="0" w:space="0" w:color="auto"/>
        <w:bottom w:val="none" w:sz="0" w:space="0" w:color="auto"/>
        <w:right w:val="none" w:sz="0" w:space="0" w:color="auto"/>
      </w:divBdr>
    </w:div>
    <w:div w:id="1387485612">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anr.fr/fr/lanr/nous-connaitre/processus-de-selection/" TargetMode="External"/><Relationship Id="rId1" Type="http://schemas.openxmlformats.org/officeDocument/2006/relationships/hyperlink" Target="https://www.bretagne.bzh/app/uploads/20_DIRECO_SIS_01_S3-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C2AB-43F1-49F3-9558-38D5C6BE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3598</Words>
  <Characters>19794</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Direction de la formation initiale, de l’enseignement supérieur, de la recherche et des sports</vt:lpstr>
    </vt:vector>
  </TitlesOfParts>
  <Company>REGION BRETAGNE</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formation initiale, de l’enseignement supérieur, de la recherche et des sports</dc:title>
  <dc:subject/>
  <dc:creator>09916</dc:creator>
  <dc:description/>
  <cp:lastModifiedBy>CHIN BY ANG</cp:lastModifiedBy>
  <cp:revision>4</cp:revision>
  <cp:lastPrinted>2023-06-09T07:52:00Z</cp:lastPrinted>
  <dcterms:created xsi:type="dcterms:W3CDTF">2024-02-19T11:09:00Z</dcterms:created>
  <dcterms:modified xsi:type="dcterms:W3CDTF">2024-02-19T16:26:00Z</dcterms:modified>
  <dc:language>fr-FR</dc:language>
</cp:coreProperties>
</file>