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4E" w:rsidRDefault="00185A4E" w:rsidP="00185A4E">
      <w:pPr>
        <w:keepNext w:val="0"/>
        <w:shd w:val="clear" w:color="auto" w:fill="E6E6E6"/>
        <w:tabs>
          <w:tab w:val="left" w:pos="2268"/>
          <w:tab w:val="left" w:pos="6237"/>
        </w:tabs>
        <w:ind w:left="15"/>
        <w:jc w:val="center"/>
        <w:rPr>
          <w:rFonts w:asciiTheme="minorHAnsi" w:hAnsiTheme="minorHAnsi" w:cs="Arial"/>
          <w:b/>
          <w:bCs/>
          <w:sz w:val="24"/>
          <w:szCs w:val="20"/>
        </w:rPr>
      </w:pPr>
      <w:r w:rsidRPr="00A10476">
        <w:rPr>
          <w:rFonts w:asciiTheme="minorHAnsi" w:hAnsiTheme="minorHAnsi" w:cs="Arial"/>
          <w:b/>
          <w:bCs/>
          <w:sz w:val="24"/>
          <w:szCs w:val="20"/>
        </w:rPr>
        <w:t xml:space="preserve">Annexe : </w:t>
      </w:r>
      <w:r>
        <w:rPr>
          <w:rFonts w:asciiTheme="minorHAnsi" w:hAnsiTheme="minorHAnsi" w:cs="Arial"/>
          <w:b/>
          <w:bCs/>
          <w:sz w:val="24"/>
          <w:szCs w:val="20"/>
        </w:rPr>
        <w:t>liste des pièces à fournir</w:t>
      </w:r>
    </w:p>
    <w:p w:rsidR="00185A4E" w:rsidRPr="0038252C" w:rsidRDefault="00185A4E" w:rsidP="00185A4E">
      <w:pPr>
        <w:keepNext w:val="0"/>
        <w:shd w:val="clear" w:color="auto" w:fill="auto"/>
        <w:tabs>
          <w:tab w:val="left" w:pos="2268"/>
          <w:tab w:val="left" w:pos="6237"/>
        </w:tabs>
        <w:ind w:left="15"/>
        <w:rPr>
          <w:rFonts w:asciiTheme="minorHAnsi" w:hAnsiTheme="minorHAnsi" w:cs="Arial"/>
          <w:b/>
          <w:bCs/>
          <w:sz w:val="20"/>
          <w:szCs w:val="20"/>
        </w:rPr>
      </w:pPr>
    </w:p>
    <w:tbl>
      <w:tblPr>
        <w:tblW w:w="9660" w:type="dxa"/>
        <w:tblInd w:w="-24" w:type="dxa"/>
        <w:tblBorders>
          <w:top w:val="single" w:sz="2" w:space="0" w:color="000000"/>
          <w:left w:val="single" w:sz="2" w:space="0" w:color="000000"/>
          <w:bottom w:val="single" w:sz="2" w:space="0" w:color="000000"/>
          <w:insideH w:val="single" w:sz="2" w:space="0" w:color="000000"/>
        </w:tblBorders>
        <w:tblLayout w:type="fixed"/>
        <w:tblCellMar>
          <w:left w:w="-2" w:type="dxa"/>
          <w:right w:w="0" w:type="dxa"/>
        </w:tblCellMar>
        <w:tblLook w:val="0000" w:firstRow="0" w:lastRow="0" w:firstColumn="0" w:lastColumn="0" w:noHBand="0" w:noVBand="0"/>
      </w:tblPr>
      <w:tblGrid>
        <w:gridCol w:w="2573"/>
        <w:gridCol w:w="7087"/>
      </w:tblGrid>
      <w:tr w:rsidR="00185A4E" w:rsidRPr="0038252C" w:rsidTr="002F71EA">
        <w:trPr>
          <w:trHeight w:val="566"/>
        </w:trPr>
        <w:tc>
          <w:tcPr>
            <w:tcW w:w="2573" w:type="dxa"/>
            <w:tcBorders>
              <w:top w:val="single" w:sz="2" w:space="0" w:color="000000"/>
              <w:left w:val="single" w:sz="2" w:space="0" w:color="000000"/>
              <w:bottom w:val="single" w:sz="2" w:space="0" w:color="000000"/>
            </w:tcBorders>
            <w:shd w:val="clear" w:color="auto" w:fill="auto"/>
            <w:tcMar>
              <w:left w:w="-2" w:type="dxa"/>
            </w:tcMar>
            <w:vAlign w:val="center"/>
          </w:tcPr>
          <w:p w:rsidR="00185A4E" w:rsidRPr="0038252C" w:rsidRDefault="00185A4E" w:rsidP="002F71EA">
            <w:pPr>
              <w:keepNext w:val="0"/>
              <w:keepLines/>
              <w:autoSpaceDE w:val="0"/>
              <w:snapToGrid w:val="0"/>
              <w:jc w:val="center"/>
              <w:rPr>
                <w:rFonts w:asciiTheme="minorHAnsi" w:hAnsiTheme="minorHAnsi" w:cs="Tahoma"/>
                <w:b/>
                <w:bCs/>
                <w:sz w:val="22"/>
                <w:szCs w:val="20"/>
              </w:rPr>
            </w:pPr>
            <w:r>
              <w:rPr>
                <w:rFonts w:asciiTheme="minorHAnsi" w:hAnsiTheme="minorHAnsi" w:cs="Tahoma"/>
                <w:b/>
                <w:bCs/>
                <w:sz w:val="22"/>
                <w:szCs w:val="20"/>
              </w:rPr>
              <w:t>Exigences</w:t>
            </w:r>
          </w:p>
        </w:tc>
        <w:tc>
          <w:tcPr>
            <w:tcW w:w="7087" w:type="dxa"/>
            <w:tcBorders>
              <w:top w:val="single" w:sz="2" w:space="0" w:color="000000"/>
              <w:left w:val="single" w:sz="2" w:space="0" w:color="000000"/>
              <w:bottom w:val="single" w:sz="2" w:space="0" w:color="000000"/>
              <w:right w:val="single" w:sz="4" w:space="0" w:color="auto"/>
            </w:tcBorders>
            <w:shd w:val="clear" w:color="auto" w:fill="auto"/>
            <w:tcMar>
              <w:left w:w="-2" w:type="dxa"/>
            </w:tcMar>
            <w:vAlign w:val="center"/>
          </w:tcPr>
          <w:p w:rsidR="00185A4E" w:rsidRPr="0038252C" w:rsidRDefault="00185A4E" w:rsidP="002F71EA">
            <w:pPr>
              <w:keepNext w:val="0"/>
              <w:autoSpaceDE w:val="0"/>
              <w:snapToGrid w:val="0"/>
              <w:jc w:val="center"/>
              <w:rPr>
                <w:rFonts w:asciiTheme="minorHAnsi" w:hAnsiTheme="minorHAnsi" w:cs="Tahoma"/>
                <w:b/>
                <w:bCs/>
                <w:sz w:val="22"/>
                <w:szCs w:val="20"/>
              </w:rPr>
            </w:pPr>
            <w:r w:rsidRPr="0038252C">
              <w:rPr>
                <w:rFonts w:asciiTheme="minorHAnsi" w:hAnsiTheme="minorHAnsi" w:cs="Tahoma"/>
                <w:b/>
                <w:bCs/>
                <w:sz w:val="22"/>
                <w:szCs w:val="20"/>
              </w:rPr>
              <w:t>Attendus, pièces à fournir (format numérique)</w:t>
            </w:r>
          </w:p>
        </w:tc>
      </w:tr>
      <w:tr w:rsidR="00185A4E" w:rsidRPr="00A10476" w:rsidTr="002F71EA">
        <w:trPr>
          <w:trHeight w:val="566"/>
        </w:trPr>
        <w:tc>
          <w:tcPr>
            <w:tcW w:w="2573" w:type="dxa"/>
            <w:tcBorders>
              <w:left w:val="single" w:sz="2" w:space="0" w:color="000000"/>
              <w:bottom w:val="single" w:sz="2" w:space="0" w:color="000000"/>
            </w:tcBorders>
            <w:shd w:val="clear" w:color="auto" w:fill="auto"/>
            <w:tcMar>
              <w:left w:w="-2" w:type="dxa"/>
            </w:tcMar>
            <w:vAlign w:val="center"/>
          </w:tcPr>
          <w:p w:rsidR="00185A4E" w:rsidRPr="004D26E1" w:rsidRDefault="00185A4E" w:rsidP="002F71EA">
            <w:pPr>
              <w:keepNext w:val="0"/>
              <w:autoSpaceDE w:val="0"/>
              <w:snapToGrid w:val="0"/>
              <w:spacing w:before="70" w:after="70"/>
              <w:ind w:left="113" w:right="113"/>
              <w:jc w:val="center"/>
              <w:rPr>
                <w:rFonts w:asciiTheme="minorHAnsi" w:hAnsiTheme="minorHAnsi" w:cstheme="minorHAnsi"/>
                <w:b/>
                <w:bCs/>
                <w:sz w:val="20"/>
                <w:szCs w:val="20"/>
              </w:rPr>
            </w:pPr>
            <w:r w:rsidRPr="004D26E1">
              <w:rPr>
                <w:rFonts w:asciiTheme="minorHAnsi" w:hAnsiTheme="minorHAnsi" w:cstheme="minorHAnsi"/>
                <w:b/>
                <w:bCs/>
                <w:sz w:val="20"/>
                <w:szCs w:val="20"/>
              </w:rPr>
              <w:t xml:space="preserve">Performance énergétique </w:t>
            </w:r>
          </w:p>
        </w:tc>
        <w:tc>
          <w:tcPr>
            <w:tcW w:w="7087" w:type="dxa"/>
            <w:tcBorders>
              <w:left w:val="single" w:sz="2" w:space="0" w:color="000000"/>
              <w:bottom w:val="single" w:sz="2" w:space="0" w:color="000000"/>
              <w:right w:val="single" w:sz="4" w:space="0" w:color="auto"/>
            </w:tcBorders>
            <w:shd w:val="clear" w:color="auto" w:fill="auto"/>
            <w:tcMar>
              <w:left w:w="-2" w:type="dxa"/>
            </w:tcMar>
            <w:vAlign w:val="center"/>
          </w:tcPr>
          <w:p w:rsidR="00185A4E" w:rsidRDefault="00185A4E" w:rsidP="00185A4E">
            <w:pPr>
              <w:pStyle w:val="Paragraphedeliste"/>
              <w:keepNext w:val="0"/>
              <w:numPr>
                <w:ilvl w:val="0"/>
                <w:numId w:val="4"/>
              </w:numPr>
              <w:autoSpaceDE w:val="0"/>
              <w:snapToGrid w:val="0"/>
              <w:spacing w:before="60" w:after="60"/>
              <w:ind w:left="170" w:right="57" w:hanging="113"/>
              <w:rPr>
                <w:rFonts w:asciiTheme="minorHAnsi" w:hAnsiTheme="minorHAnsi" w:cstheme="minorHAnsi"/>
                <w:sz w:val="20"/>
                <w:szCs w:val="20"/>
              </w:rPr>
            </w:pPr>
            <w:r>
              <w:rPr>
                <w:rFonts w:asciiTheme="minorHAnsi" w:hAnsiTheme="minorHAnsi" w:cstheme="minorHAnsi"/>
                <w:sz w:val="20"/>
                <w:szCs w:val="20"/>
              </w:rPr>
              <w:t xml:space="preserve">Onglet « performance énergétique » du dossier de candidature renseigné, dont la note </w:t>
            </w:r>
            <w:r w:rsidRPr="004D26E1">
              <w:rPr>
                <w:rFonts w:asciiTheme="minorHAnsi" w:hAnsiTheme="minorHAnsi"/>
                <w:color w:val="000000"/>
                <w:sz w:val="20"/>
              </w:rPr>
              <w:t>justifiant les choix retenus et décrivant les consommations prévisionnelles du bâtiment au regard des systèmes et équipements envisagés</w:t>
            </w:r>
          </w:p>
          <w:p w:rsidR="00185A4E" w:rsidRPr="00A10476" w:rsidRDefault="00185A4E" w:rsidP="00185A4E">
            <w:pPr>
              <w:pStyle w:val="Paragraphedeliste"/>
              <w:keepNext w:val="0"/>
              <w:numPr>
                <w:ilvl w:val="0"/>
                <w:numId w:val="4"/>
              </w:numPr>
              <w:autoSpaceDE w:val="0"/>
              <w:snapToGrid w:val="0"/>
              <w:spacing w:before="60" w:after="60"/>
              <w:ind w:left="170" w:right="57" w:hanging="113"/>
              <w:rPr>
                <w:rFonts w:asciiTheme="minorHAnsi" w:hAnsiTheme="minorHAnsi" w:cstheme="minorHAnsi"/>
                <w:sz w:val="20"/>
                <w:szCs w:val="20"/>
              </w:rPr>
            </w:pPr>
            <w:r w:rsidRPr="00A10476">
              <w:rPr>
                <w:rFonts w:asciiTheme="minorHAnsi" w:hAnsiTheme="minorHAnsi" w:cstheme="minorHAnsi"/>
                <w:sz w:val="20"/>
                <w:szCs w:val="20"/>
              </w:rPr>
              <w:t>Rapport d’audit énergétique</w:t>
            </w:r>
            <w:r>
              <w:rPr>
                <w:rFonts w:asciiTheme="minorHAnsi" w:hAnsiTheme="minorHAnsi" w:cstheme="minorHAnsi"/>
                <w:sz w:val="20"/>
                <w:szCs w:val="20"/>
              </w:rPr>
              <w:t xml:space="preserve"> (étude règlementaire)</w:t>
            </w:r>
          </w:p>
          <w:p w:rsidR="00185A4E" w:rsidRPr="00A10476" w:rsidRDefault="00185A4E" w:rsidP="00185A4E">
            <w:pPr>
              <w:pStyle w:val="Paragraphedeliste"/>
              <w:keepNext w:val="0"/>
              <w:numPr>
                <w:ilvl w:val="0"/>
                <w:numId w:val="4"/>
              </w:numPr>
              <w:autoSpaceDE w:val="0"/>
              <w:snapToGrid w:val="0"/>
              <w:spacing w:before="60" w:after="60"/>
              <w:ind w:left="170" w:right="57" w:hanging="113"/>
              <w:rPr>
                <w:rFonts w:asciiTheme="minorHAnsi" w:hAnsiTheme="minorHAnsi" w:cstheme="minorHAnsi"/>
                <w:sz w:val="20"/>
                <w:szCs w:val="20"/>
              </w:rPr>
            </w:pPr>
            <w:r w:rsidRPr="00A10476">
              <w:rPr>
                <w:rFonts w:asciiTheme="minorHAnsi" w:hAnsiTheme="minorHAnsi" w:cstheme="minorHAnsi"/>
                <w:sz w:val="20"/>
                <w:szCs w:val="20"/>
              </w:rPr>
              <w:t xml:space="preserve">Rapport </w:t>
            </w:r>
            <w:proofErr w:type="spellStart"/>
            <w:r w:rsidRPr="00A10476">
              <w:rPr>
                <w:rFonts w:asciiTheme="minorHAnsi" w:hAnsiTheme="minorHAnsi" w:cstheme="minorHAnsi"/>
                <w:sz w:val="20"/>
                <w:szCs w:val="20"/>
              </w:rPr>
              <w:t>phpp</w:t>
            </w:r>
            <w:proofErr w:type="spellEnd"/>
            <w:r>
              <w:rPr>
                <w:rFonts w:asciiTheme="minorHAnsi" w:hAnsiTheme="minorHAnsi" w:cstheme="minorHAnsi"/>
                <w:sz w:val="20"/>
                <w:szCs w:val="20"/>
              </w:rPr>
              <w:t>,</w:t>
            </w:r>
            <w:r w:rsidRPr="00A10476">
              <w:rPr>
                <w:rFonts w:asciiTheme="minorHAnsi" w:hAnsiTheme="minorHAnsi" w:cstheme="minorHAnsi"/>
                <w:sz w:val="20"/>
                <w:szCs w:val="20"/>
              </w:rPr>
              <w:t xml:space="preserve"> le cas échéant</w:t>
            </w:r>
          </w:p>
          <w:p w:rsidR="00185A4E" w:rsidRPr="00AA5034" w:rsidRDefault="00185A4E" w:rsidP="00185A4E">
            <w:pPr>
              <w:pStyle w:val="Paragraphedeliste"/>
              <w:keepNext w:val="0"/>
              <w:numPr>
                <w:ilvl w:val="0"/>
                <w:numId w:val="4"/>
              </w:numPr>
              <w:autoSpaceDE w:val="0"/>
              <w:snapToGrid w:val="0"/>
              <w:spacing w:before="60" w:after="60"/>
              <w:ind w:left="170" w:right="57" w:hanging="113"/>
              <w:rPr>
                <w:rFonts w:asciiTheme="minorHAnsi" w:hAnsiTheme="minorHAnsi" w:cstheme="minorHAnsi"/>
                <w:sz w:val="20"/>
                <w:szCs w:val="20"/>
              </w:rPr>
            </w:pPr>
            <w:r w:rsidRPr="00A10476">
              <w:rPr>
                <w:rFonts w:asciiTheme="minorHAnsi" w:hAnsiTheme="minorHAnsi" w:cstheme="minorHAnsi"/>
                <w:sz w:val="20"/>
                <w:szCs w:val="20"/>
              </w:rPr>
              <w:t>Autres rapports d’étude éventuelle</w:t>
            </w:r>
          </w:p>
        </w:tc>
      </w:tr>
      <w:tr w:rsidR="00185A4E" w:rsidRPr="00783CD0" w:rsidTr="002F71EA">
        <w:trPr>
          <w:trHeight w:val="566"/>
        </w:trPr>
        <w:tc>
          <w:tcPr>
            <w:tcW w:w="2573" w:type="dxa"/>
            <w:tcBorders>
              <w:left w:val="single" w:sz="2" w:space="0" w:color="000000"/>
            </w:tcBorders>
            <w:shd w:val="clear" w:color="auto" w:fill="auto"/>
            <w:tcMar>
              <w:left w:w="-2" w:type="dxa"/>
            </w:tcMar>
            <w:vAlign w:val="center"/>
          </w:tcPr>
          <w:p w:rsidR="00185A4E" w:rsidRPr="004D26E1" w:rsidRDefault="00185A4E" w:rsidP="002F71EA">
            <w:pPr>
              <w:keepNext w:val="0"/>
              <w:autoSpaceDE w:val="0"/>
              <w:snapToGrid w:val="0"/>
              <w:spacing w:before="70" w:after="70"/>
              <w:ind w:left="113" w:right="113"/>
              <w:jc w:val="center"/>
              <w:rPr>
                <w:rFonts w:asciiTheme="minorHAnsi" w:hAnsiTheme="minorHAnsi" w:cstheme="minorHAnsi"/>
                <w:b/>
                <w:bCs/>
                <w:sz w:val="20"/>
                <w:szCs w:val="20"/>
              </w:rPr>
            </w:pPr>
            <w:r w:rsidRPr="004D26E1">
              <w:rPr>
                <w:rFonts w:asciiTheme="minorHAnsi" w:hAnsiTheme="minorHAnsi" w:cstheme="minorHAnsi"/>
                <w:b/>
                <w:bCs/>
                <w:sz w:val="20"/>
                <w:szCs w:val="20"/>
              </w:rPr>
              <w:t>Suivi de la performance énergétique</w:t>
            </w:r>
          </w:p>
        </w:tc>
        <w:tc>
          <w:tcPr>
            <w:tcW w:w="7087" w:type="dxa"/>
            <w:tcBorders>
              <w:left w:val="single" w:sz="2" w:space="0" w:color="000000"/>
              <w:right w:val="single" w:sz="4" w:space="0" w:color="auto"/>
            </w:tcBorders>
            <w:shd w:val="clear" w:color="auto" w:fill="auto"/>
            <w:vAlign w:val="center"/>
          </w:tcPr>
          <w:p w:rsidR="00185A4E" w:rsidRPr="003F415E" w:rsidRDefault="00185A4E" w:rsidP="002F71EA">
            <w:pPr>
              <w:keepNext w:val="0"/>
              <w:widowControl/>
              <w:shd w:val="clear" w:color="auto" w:fill="auto"/>
              <w:suppressAutoHyphens w:val="0"/>
              <w:spacing w:before="60" w:after="60"/>
              <w:ind w:left="57" w:right="57"/>
              <w:textAlignment w:val="auto"/>
              <w:rPr>
                <w:rFonts w:ascii="Calibri" w:eastAsia="Times New Roman" w:hAnsi="Calibri" w:cs="Calibri"/>
                <w:iCs/>
                <w:sz w:val="20"/>
                <w:szCs w:val="20"/>
              </w:rPr>
            </w:pPr>
            <w:r w:rsidRPr="003F415E">
              <w:rPr>
                <w:rFonts w:ascii="Calibri" w:eastAsia="Times New Roman" w:hAnsi="Calibri" w:cs="Calibri"/>
                <w:iCs/>
                <w:sz w:val="20"/>
                <w:szCs w:val="20"/>
              </w:rPr>
              <w:t>Note descriptive du dispositif d’instrumentation envisagé pour suivre les performances en phase de fonctionnement</w:t>
            </w:r>
          </w:p>
        </w:tc>
      </w:tr>
      <w:tr w:rsidR="00185A4E" w:rsidRPr="00E15FE8" w:rsidTr="002F71EA">
        <w:trPr>
          <w:trHeight w:val="2384"/>
        </w:trPr>
        <w:tc>
          <w:tcPr>
            <w:tcW w:w="2573" w:type="dxa"/>
            <w:tcBorders>
              <w:left w:val="single" w:sz="2" w:space="0" w:color="000000"/>
            </w:tcBorders>
            <w:shd w:val="clear" w:color="auto" w:fill="auto"/>
            <w:tcMar>
              <w:left w:w="-2" w:type="dxa"/>
            </w:tcMar>
            <w:vAlign w:val="center"/>
          </w:tcPr>
          <w:p w:rsidR="00185A4E" w:rsidRPr="004D26E1" w:rsidRDefault="00185A4E" w:rsidP="002F71EA">
            <w:pPr>
              <w:keepNext w:val="0"/>
              <w:autoSpaceDE w:val="0"/>
              <w:snapToGrid w:val="0"/>
              <w:spacing w:before="70" w:after="70"/>
              <w:ind w:left="113" w:right="113"/>
              <w:jc w:val="center"/>
              <w:rPr>
                <w:rFonts w:asciiTheme="minorHAnsi" w:hAnsiTheme="minorHAnsi" w:cstheme="minorHAnsi"/>
                <w:b/>
                <w:bCs/>
                <w:sz w:val="20"/>
                <w:szCs w:val="20"/>
              </w:rPr>
            </w:pPr>
            <w:r w:rsidRPr="004D26E1">
              <w:rPr>
                <w:rFonts w:asciiTheme="minorHAnsi" w:hAnsiTheme="minorHAnsi" w:cstheme="minorHAnsi"/>
                <w:b/>
                <w:bCs/>
                <w:sz w:val="20"/>
                <w:szCs w:val="20"/>
              </w:rPr>
              <w:t>Empreinte carbone</w:t>
            </w:r>
          </w:p>
        </w:tc>
        <w:tc>
          <w:tcPr>
            <w:tcW w:w="7087" w:type="dxa"/>
            <w:tcBorders>
              <w:left w:val="single" w:sz="2" w:space="0" w:color="000000"/>
              <w:right w:val="single" w:sz="4" w:space="0" w:color="auto"/>
            </w:tcBorders>
            <w:shd w:val="clear" w:color="auto" w:fill="auto"/>
            <w:tcMar>
              <w:left w:w="-2" w:type="dxa"/>
            </w:tcMar>
            <w:vAlign w:val="center"/>
          </w:tcPr>
          <w:p w:rsidR="00185A4E" w:rsidRPr="003F415E" w:rsidRDefault="00185A4E" w:rsidP="002F71EA">
            <w:pPr>
              <w:keepNext w:val="0"/>
              <w:widowControl/>
              <w:shd w:val="clear" w:color="auto" w:fill="auto"/>
              <w:suppressAutoHyphens w:val="0"/>
              <w:spacing w:before="60" w:after="60"/>
              <w:ind w:left="57" w:right="57"/>
              <w:textAlignment w:val="auto"/>
              <w:rPr>
                <w:rFonts w:ascii="Calibri" w:eastAsia="Times New Roman" w:hAnsi="Calibri" w:cs="Calibri"/>
                <w:iCs/>
                <w:sz w:val="20"/>
                <w:szCs w:val="20"/>
              </w:rPr>
            </w:pPr>
            <w:r>
              <w:rPr>
                <w:rFonts w:ascii="Calibri" w:eastAsia="Times New Roman" w:hAnsi="Calibri" w:cs="Calibri"/>
                <w:iCs/>
                <w:sz w:val="20"/>
                <w:szCs w:val="20"/>
              </w:rPr>
              <w:t>N</w:t>
            </w:r>
            <w:r w:rsidRPr="003F415E">
              <w:rPr>
                <w:rFonts w:ascii="Calibri" w:eastAsia="Times New Roman" w:hAnsi="Calibri" w:cs="Calibri"/>
                <w:iCs/>
                <w:sz w:val="20"/>
                <w:szCs w:val="20"/>
              </w:rPr>
              <w:t xml:space="preserve">ote détaillant le calcul des émissions de gaz à effet de serre (GES) sur une durée d'exploitation de 50 ans ; présenter </w:t>
            </w:r>
            <w:proofErr w:type="gramStart"/>
            <w:r w:rsidRPr="003F415E">
              <w:rPr>
                <w:rFonts w:ascii="Calibri" w:eastAsia="Times New Roman" w:hAnsi="Calibri" w:cs="Calibri"/>
                <w:iCs/>
                <w:sz w:val="20"/>
                <w:szCs w:val="20"/>
              </w:rPr>
              <w:t>a</w:t>
            </w:r>
            <w:proofErr w:type="gramEnd"/>
            <w:r w:rsidRPr="003F415E">
              <w:rPr>
                <w:rFonts w:ascii="Calibri" w:eastAsia="Times New Roman" w:hAnsi="Calibri" w:cs="Calibri"/>
                <w:iCs/>
                <w:sz w:val="20"/>
                <w:szCs w:val="20"/>
              </w:rPr>
              <w:t xml:space="preserve"> minima le niveau de détail ci-dessous ainsi que les éléments méthodologiques utilisés (périmètre, facteurs d’émission…).</w:t>
            </w:r>
          </w:p>
          <w:p w:rsidR="00185A4E" w:rsidRPr="003F415E"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iCs/>
                <w:sz w:val="20"/>
                <w:szCs w:val="20"/>
              </w:rPr>
            </w:pPr>
            <w:r w:rsidRPr="003F415E">
              <w:rPr>
                <w:rFonts w:ascii="Calibri" w:eastAsia="Times New Roman" w:hAnsi="Calibri" w:cs="Calibri"/>
                <w:iCs/>
                <w:sz w:val="20"/>
                <w:szCs w:val="20"/>
              </w:rPr>
              <w:t>CO2 travaux = GES émis en phase chantier du fait des matériaux et livraisons, des engins de chantier et des déplacements des ouvriers ;</w:t>
            </w:r>
          </w:p>
          <w:p w:rsidR="00185A4E" w:rsidRPr="003F415E"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iCs/>
                <w:sz w:val="20"/>
                <w:szCs w:val="20"/>
              </w:rPr>
            </w:pPr>
            <w:r w:rsidRPr="003F415E">
              <w:rPr>
                <w:rFonts w:ascii="Calibri" w:eastAsia="Times New Roman" w:hAnsi="Calibri" w:cs="Calibri"/>
                <w:iCs/>
                <w:sz w:val="20"/>
                <w:szCs w:val="20"/>
              </w:rPr>
              <w:t xml:space="preserve">CO2 conso. </w:t>
            </w:r>
            <w:proofErr w:type="gramStart"/>
            <w:r w:rsidRPr="003F415E">
              <w:rPr>
                <w:rFonts w:ascii="Calibri" w:eastAsia="Times New Roman" w:hAnsi="Calibri" w:cs="Calibri"/>
                <w:iCs/>
                <w:sz w:val="20"/>
                <w:szCs w:val="20"/>
              </w:rPr>
              <w:t>énergétiques</w:t>
            </w:r>
            <w:proofErr w:type="gramEnd"/>
            <w:r w:rsidRPr="003F415E">
              <w:rPr>
                <w:rFonts w:ascii="Calibri" w:eastAsia="Times New Roman" w:hAnsi="Calibri" w:cs="Calibri"/>
                <w:iCs/>
                <w:sz w:val="20"/>
                <w:szCs w:val="20"/>
              </w:rPr>
              <w:t xml:space="preserve"> = GES émis en phase fonctionnement, du fait de la totalité des consommations énergétiques du bâtiment, et non des seuls 5 usages réglementés;</w:t>
            </w:r>
          </w:p>
          <w:p w:rsidR="00185A4E" w:rsidRPr="002E2A35"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iCs/>
                <w:sz w:val="20"/>
                <w:szCs w:val="20"/>
              </w:rPr>
            </w:pPr>
            <w:r w:rsidRPr="003F415E">
              <w:rPr>
                <w:rFonts w:ascii="Calibri" w:eastAsia="Times New Roman" w:hAnsi="Calibri" w:cs="Calibri"/>
                <w:iCs/>
                <w:sz w:val="20"/>
                <w:szCs w:val="20"/>
              </w:rPr>
              <w:t>CO2 déplacements = GES dues aux déplacements générés par l’activité du bâtiment.</w:t>
            </w:r>
          </w:p>
        </w:tc>
      </w:tr>
      <w:tr w:rsidR="00185A4E" w:rsidRPr="004D26E1" w:rsidTr="002F71EA">
        <w:trPr>
          <w:trHeight w:val="566"/>
        </w:trPr>
        <w:tc>
          <w:tcPr>
            <w:tcW w:w="2573" w:type="dxa"/>
            <w:tcBorders>
              <w:left w:val="single" w:sz="2" w:space="0" w:color="000000"/>
              <w:bottom w:val="single" w:sz="2" w:space="0" w:color="000000"/>
            </w:tcBorders>
            <w:shd w:val="clear" w:color="auto" w:fill="auto"/>
            <w:tcMar>
              <w:left w:w="-2" w:type="dxa"/>
            </w:tcMar>
            <w:vAlign w:val="center"/>
          </w:tcPr>
          <w:p w:rsidR="00185A4E" w:rsidRPr="00E934BA" w:rsidRDefault="00185A4E" w:rsidP="002F71EA">
            <w:pPr>
              <w:keepNext w:val="0"/>
              <w:autoSpaceDE w:val="0"/>
              <w:snapToGrid w:val="0"/>
              <w:spacing w:before="70" w:after="70"/>
              <w:ind w:left="113" w:right="113"/>
              <w:jc w:val="center"/>
              <w:rPr>
                <w:rFonts w:asciiTheme="minorHAnsi" w:hAnsiTheme="minorHAnsi" w:cstheme="minorHAnsi"/>
                <w:b/>
                <w:bCs/>
                <w:sz w:val="20"/>
                <w:szCs w:val="20"/>
              </w:rPr>
            </w:pPr>
            <w:r w:rsidRPr="004D26E1">
              <w:rPr>
                <w:rFonts w:asciiTheme="minorHAnsi" w:hAnsiTheme="minorHAnsi" w:cstheme="minorHAnsi"/>
                <w:b/>
                <w:bCs/>
                <w:sz w:val="20"/>
                <w:szCs w:val="20"/>
              </w:rPr>
              <w:t>Promotion de</w:t>
            </w:r>
            <w:r>
              <w:rPr>
                <w:rFonts w:asciiTheme="minorHAnsi" w:hAnsiTheme="minorHAnsi" w:cstheme="minorHAnsi"/>
                <w:b/>
                <w:bCs/>
                <w:sz w:val="20"/>
                <w:szCs w:val="20"/>
              </w:rPr>
              <w:t>s</w:t>
            </w:r>
            <w:r w:rsidRPr="004D26E1">
              <w:rPr>
                <w:rFonts w:asciiTheme="minorHAnsi" w:hAnsiTheme="minorHAnsi" w:cstheme="minorHAnsi"/>
                <w:b/>
                <w:bCs/>
                <w:sz w:val="20"/>
                <w:szCs w:val="20"/>
              </w:rPr>
              <w:t xml:space="preserve"> filières constructives durables</w:t>
            </w:r>
            <w:r>
              <w:rPr>
                <w:rFonts w:asciiTheme="minorHAnsi" w:hAnsiTheme="minorHAnsi" w:cstheme="minorHAnsi"/>
                <w:b/>
                <w:bCs/>
                <w:sz w:val="20"/>
                <w:szCs w:val="20"/>
              </w:rPr>
              <w:t> : m</w:t>
            </w:r>
            <w:r w:rsidRPr="00935DE8">
              <w:rPr>
                <w:rFonts w:asciiTheme="minorHAnsi" w:hAnsiTheme="minorHAnsi" w:cstheme="minorHAnsi"/>
                <w:b/>
                <w:bCs/>
                <w:sz w:val="20"/>
                <w:szCs w:val="20"/>
              </w:rPr>
              <w:t>até</w:t>
            </w:r>
            <w:r>
              <w:rPr>
                <w:rFonts w:asciiTheme="minorHAnsi" w:hAnsiTheme="minorHAnsi" w:cstheme="minorHAnsi"/>
                <w:b/>
                <w:bCs/>
                <w:sz w:val="20"/>
                <w:szCs w:val="20"/>
              </w:rPr>
              <w:t xml:space="preserve">riaux </w:t>
            </w:r>
            <w:proofErr w:type="spellStart"/>
            <w:r>
              <w:rPr>
                <w:rFonts w:asciiTheme="minorHAnsi" w:hAnsiTheme="minorHAnsi" w:cstheme="minorHAnsi"/>
                <w:b/>
                <w:bCs/>
                <w:sz w:val="20"/>
                <w:szCs w:val="20"/>
              </w:rPr>
              <w:t>biosourcés</w:t>
            </w:r>
            <w:proofErr w:type="spellEnd"/>
            <w:r>
              <w:rPr>
                <w:rFonts w:asciiTheme="minorHAnsi" w:hAnsiTheme="minorHAnsi" w:cstheme="minorHAnsi"/>
                <w:b/>
                <w:bCs/>
                <w:sz w:val="20"/>
                <w:szCs w:val="20"/>
              </w:rPr>
              <w:t xml:space="preserve"> et </w:t>
            </w:r>
            <w:proofErr w:type="spellStart"/>
            <w:r>
              <w:rPr>
                <w:rFonts w:asciiTheme="minorHAnsi" w:hAnsiTheme="minorHAnsi" w:cstheme="minorHAnsi"/>
                <w:b/>
                <w:bCs/>
                <w:sz w:val="20"/>
                <w:szCs w:val="20"/>
              </w:rPr>
              <w:t>géosourcés</w:t>
            </w:r>
            <w:proofErr w:type="spellEnd"/>
          </w:p>
        </w:tc>
        <w:tc>
          <w:tcPr>
            <w:tcW w:w="7087" w:type="dxa"/>
            <w:tcBorders>
              <w:left w:val="single" w:sz="2" w:space="0" w:color="000000"/>
              <w:bottom w:val="single" w:sz="2" w:space="0" w:color="000000"/>
              <w:right w:val="single" w:sz="4" w:space="0" w:color="auto"/>
            </w:tcBorders>
            <w:shd w:val="clear" w:color="auto" w:fill="auto"/>
            <w:tcMar>
              <w:left w:w="-2" w:type="dxa"/>
            </w:tcMar>
            <w:vAlign w:val="center"/>
          </w:tcPr>
          <w:p w:rsidR="00185A4E" w:rsidRPr="003F415E" w:rsidRDefault="00185A4E" w:rsidP="002F71EA">
            <w:pPr>
              <w:keepNext w:val="0"/>
              <w:widowControl/>
              <w:shd w:val="clear" w:color="auto" w:fill="auto"/>
              <w:suppressAutoHyphens w:val="0"/>
              <w:spacing w:before="60" w:after="60"/>
              <w:ind w:left="57" w:right="57"/>
              <w:textAlignment w:val="auto"/>
              <w:rPr>
                <w:rFonts w:ascii="Calibri" w:eastAsia="Times New Roman" w:hAnsi="Calibri" w:cs="Calibri"/>
                <w:iCs/>
                <w:sz w:val="20"/>
                <w:szCs w:val="20"/>
              </w:rPr>
            </w:pPr>
            <w:r w:rsidRPr="003F415E">
              <w:rPr>
                <w:rFonts w:ascii="Calibri" w:eastAsia="Times New Roman" w:hAnsi="Calibri" w:cs="Calibri"/>
                <w:iCs/>
                <w:sz w:val="20"/>
                <w:szCs w:val="20"/>
              </w:rPr>
              <w:t>Onglet « matériaux bio/</w:t>
            </w:r>
            <w:proofErr w:type="spellStart"/>
            <w:r w:rsidRPr="003F415E">
              <w:rPr>
                <w:rFonts w:ascii="Calibri" w:eastAsia="Times New Roman" w:hAnsi="Calibri" w:cs="Calibri"/>
                <w:iCs/>
                <w:sz w:val="20"/>
                <w:szCs w:val="20"/>
              </w:rPr>
              <w:t>géosourcés</w:t>
            </w:r>
            <w:proofErr w:type="spellEnd"/>
            <w:r w:rsidRPr="003F415E">
              <w:rPr>
                <w:rFonts w:ascii="Calibri" w:eastAsia="Times New Roman" w:hAnsi="Calibri" w:cs="Calibri"/>
                <w:iCs/>
                <w:sz w:val="20"/>
                <w:szCs w:val="20"/>
              </w:rPr>
              <w:t xml:space="preserve"> » du dossier de candidature renseigné, en précisant l’origine des bois mis en œuvre </w:t>
            </w:r>
          </w:p>
        </w:tc>
      </w:tr>
      <w:tr w:rsidR="00185A4E" w:rsidRPr="004D26E1" w:rsidTr="002F71EA">
        <w:trPr>
          <w:trHeight w:val="566"/>
        </w:trPr>
        <w:tc>
          <w:tcPr>
            <w:tcW w:w="2573" w:type="dxa"/>
            <w:tcBorders>
              <w:left w:val="single" w:sz="2" w:space="0" w:color="000000"/>
            </w:tcBorders>
            <w:shd w:val="clear" w:color="auto" w:fill="auto"/>
            <w:tcMar>
              <w:left w:w="-2" w:type="dxa"/>
            </w:tcMar>
            <w:vAlign w:val="center"/>
          </w:tcPr>
          <w:p w:rsidR="00185A4E" w:rsidRPr="00CD1DCB" w:rsidRDefault="00185A4E" w:rsidP="002F71EA">
            <w:pPr>
              <w:keepNext w:val="0"/>
              <w:shd w:val="clear" w:color="auto" w:fill="auto"/>
              <w:autoSpaceDE w:val="0"/>
              <w:snapToGrid w:val="0"/>
              <w:spacing w:before="70" w:after="70"/>
              <w:ind w:left="113" w:right="113"/>
              <w:jc w:val="center"/>
              <w:rPr>
                <w:rFonts w:asciiTheme="minorHAnsi" w:hAnsiTheme="minorHAnsi" w:cstheme="minorHAnsi"/>
                <w:b/>
                <w:bCs/>
                <w:sz w:val="20"/>
                <w:szCs w:val="20"/>
              </w:rPr>
            </w:pPr>
            <w:r w:rsidRPr="00034E42">
              <w:rPr>
                <w:rFonts w:asciiTheme="minorHAnsi" w:hAnsiTheme="minorHAnsi" w:cstheme="minorHAnsi"/>
                <w:b/>
                <w:bCs/>
                <w:sz w:val="20"/>
                <w:szCs w:val="20"/>
              </w:rPr>
              <w:t>Recours aux énergies renouvelables</w:t>
            </w:r>
          </w:p>
        </w:tc>
        <w:tc>
          <w:tcPr>
            <w:tcW w:w="7087" w:type="dxa"/>
            <w:tcBorders>
              <w:left w:val="single" w:sz="2" w:space="0" w:color="000000"/>
              <w:bottom w:val="single" w:sz="2" w:space="0" w:color="000000"/>
              <w:right w:val="single" w:sz="4" w:space="0" w:color="auto"/>
            </w:tcBorders>
            <w:shd w:val="clear" w:color="auto" w:fill="auto"/>
            <w:vAlign w:val="center"/>
          </w:tcPr>
          <w:p w:rsidR="00185A4E" w:rsidRPr="003F415E" w:rsidRDefault="00185A4E" w:rsidP="002F71EA">
            <w:pPr>
              <w:keepNext w:val="0"/>
              <w:widowControl/>
              <w:shd w:val="clear" w:color="auto" w:fill="auto"/>
              <w:suppressAutoHyphens w:val="0"/>
              <w:spacing w:before="60" w:after="60"/>
              <w:ind w:left="57" w:right="57"/>
              <w:textAlignment w:val="auto"/>
              <w:rPr>
                <w:rFonts w:ascii="Calibri" w:eastAsia="Times New Roman" w:hAnsi="Calibri" w:cs="Calibri"/>
                <w:iCs/>
                <w:sz w:val="20"/>
                <w:szCs w:val="20"/>
              </w:rPr>
            </w:pPr>
            <w:r w:rsidRPr="00115EA5">
              <w:rPr>
                <w:rFonts w:ascii="Calibri" w:eastAsia="Times New Roman" w:hAnsi="Calibri" w:cs="Calibri"/>
                <w:iCs/>
                <w:sz w:val="20"/>
                <w:szCs w:val="20"/>
              </w:rPr>
              <w:t>Note précisant la conception architecturale et les travaux menés pour favoriser la solarisation du bâtiment, dans une approche « d’architecture solaire », dont notamment (liste non exhaustive) :</w:t>
            </w:r>
          </w:p>
          <w:p w:rsidR="00185A4E" w:rsidRPr="00115EA5"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sz w:val="20"/>
                <w:szCs w:val="20"/>
              </w:rPr>
            </w:pPr>
            <w:r w:rsidRPr="00115EA5">
              <w:rPr>
                <w:rFonts w:ascii="Calibri" w:eastAsia="Times New Roman" w:hAnsi="Calibri" w:cs="Calibri"/>
                <w:iCs/>
                <w:sz w:val="20"/>
                <w:szCs w:val="20"/>
              </w:rPr>
              <w:t>Prise en compte des apports actifs et passifs de l’énergie solaire,</w:t>
            </w:r>
          </w:p>
          <w:p w:rsidR="00185A4E" w:rsidRPr="00115EA5"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sz w:val="20"/>
                <w:szCs w:val="20"/>
              </w:rPr>
            </w:pPr>
            <w:r w:rsidRPr="00115EA5">
              <w:rPr>
                <w:rFonts w:ascii="Calibri" w:eastAsia="Times New Roman" w:hAnsi="Calibri" w:cs="Calibri"/>
                <w:iCs/>
                <w:sz w:val="20"/>
                <w:szCs w:val="20"/>
              </w:rPr>
              <w:t>Orientation de la toiture ou des façades visant à optimiser la surface productive,</w:t>
            </w:r>
          </w:p>
          <w:p w:rsidR="00185A4E" w:rsidRPr="00115EA5"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sz w:val="20"/>
                <w:szCs w:val="20"/>
              </w:rPr>
            </w:pPr>
            <w:r w:rsidRPr="00115EA5">
              <w:rPr>
                <w:rFonts w:ascii="Calibri" w:eastAsia="Times New Roman" w:hAnsi="Calibri" w:cs="Calibri"/>
                <w:iCs/>
                <w:sz w:val="20"/>
                <w:szCs w:val="20"/>
              </w:rPr>
              <w:t>Organisation du plan masse,</w:t>
            </w:r>
          </w:p>
          <w:p w:rsidR="00185A4E" w:rsidRPr="00115EA5"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sz w:val="20"/>
                <w:szCs w:val="20"/>
              </w:rPr>
            </w:pPr>
            <w:r w:rsidRPr="00115EA5">
              <w:rPr>
                <w:rFonts w:ascii="Calibri" w:eastAsia="Times New Roman" w:hAnsi="Calibri" w:cs="Calibri"/>
                <w:iCs/>
                <w:sz w:val="20"/>
                <w:szCs w:val="20"/>
              </w:rPr>
              <w:t>Prise en compte des ombres,</w:t>
            </w:r>
          </w:p>
          <w:p w:rsidR="00185A4E" w:rsidRPr="00115EA5"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sz w:val="20"/>
                <w:szCs w:val="20"/>
              </w:rPr>
            </w:pPr>
            <w:r w:rsidRPr="00115EA5">
              <w:rPr>
                <w:rFonts w:ascii="Calibri" w:eastAsia="Times New Roman" w:hAnsi="Calibri" w:cs="Calibri"/>
                <w:iCs/>
                <w:sz w:val="20"/>
                <w:szCs w:val="20"/>
              </w:rPr>
              <w:t>Structure permettant de supporter l’installation de panneaux solaires (fondations, charpente, complexe de toiture) et production PV le cas échéant,</w:t>
            </w:r>
          </w:p>
          <w:p w:rsidR="00185A4E" w:rsidRPr="00115EA5"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sz w:val="20"/>
                <w:szCs w:val="20"/>
              </w:rPr>
            </w:pPr>
            <w:r w:rsidRPr="00115EA5">
              <w:rPr>
                <w:rFonts w:ascii="Calibri" w:eastAsia="Times New Roman" w:hAnsi="Calibri" w:cs="Calibri"/>
                <w:iCs/>
                <w:sz w:val="20"/>
                <w:szCs w:val="20"/>
              </w:rPr>
              <w:t>Type de toiture favorable (étanchéité, isolant…),</w:t>
            </w:r>
          </w:p>
          <w:p w:rsidR="00185A4E" w:rsidRPr="00115EA5"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sz w:val="20"/>
                <w:szCs w:val="20"/>
              </w:rPr>
            </w:pPr>
            <w:r w:rsidRPr="00115EA5">
              <w:rPr>
                <w:rFonts w:ascii="Calibri" w:eastAsia="Times New Roman" w:hAnsi="Calibri" w:cs="Calibri"/>
                <w:iCs/>
                <w:sz w:val="20"/>
                <w:szCs w:val="20"/>
              </w:rPr>
              <w:t>Local onduleur / local technique ou chaufferie, passages de câbles et protections électriques prévues,</w:t>
            </w:r>
          </w:p>
          <w:p w:rsidR="00185A4E" w:rsidRPr="00115EA5"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sz w:val="20"/>
                <w:szCs w:val="20"/>
              </w:rPr>
            </w:pPr>
            <w:r w:rsidRPr="00115EA5">
              <w:rPr>
                <w:rFonts w:ascii="Calibri" w:eastAsia="Times New Roman" w:hAnsi="Calibri" w:cs="Calibri"/>
                <w:iCs/>
                <w:sz w:val="20"/>
                <w:szCs w:val="20"/>
              </w:rPr>
              <w:t>Accès prévu à la toiture pour la maintenance et l’installation de la centrale, avec présence d’EPI/EPC,</w:t>
            </w:r>
          </w:p>
          <w:p w:rsidR="00185A4E" w:rsidRPr="00115EA5"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sz w:val="20"/>
                <w:szCs w:val="20"/>
              </w:rPr>
            </w:pPr>
            <w:r w:rsidRPr="00115EA5">
              <w:rPr>
                <w:rFonts w:ascii="Calibri" w:eastAsia="Times New Roman" w:hAnsi="Calibri" w:cs="Calibri"/>
                <w:iCs/>
                <w:sz w:val="20"/>
                <w:szCs w:val="20"/>
              </w:rPr>
              <w:t>...</w:t>
            </w:r>
          </w:p>
          <w:p w:rsidR="00185A4E" w:rsidRPr="003F415E" w:rsidRDefault="00185A4E" w:rsidP="002F71EA">
            <w:pPr>
              <w:keepNext w:val="0"/>
              <w:widowControl/>
              <w:shd w:val="clear" w:color="auto" w:fill="auto"/>
              <w:suppressAutoHyphens w:val="0"/>
              <w:spacing w:before="60" w:after="60"/>
              <w:ind w:left="57" w:right="57"/>
              <w:textAlignment w:val="auto"/>
              <w:rPr>
                <w:rFonts w:ascii="Calibri" w:eastAsia="Times New Roman" w:hAnsi="Calibri" w:cs="Calibri"/>
                <w:iCs/>
                <w:sz w:val="20"/>
                <w:szCs w:val="20"/>
              </w:rPr>
            </w:pPr>
            <w:r w:rsidRPr="00115EA5">
              <w:rPr>
                <w:rFonts w:ascii="Calibri" w:eastAsia="Times New Roman" w:hAnsi="Calibri" w:cs="Calibri"/>
                <w:iCs/>
                <w:sz w:val="20"/>
                <w:szCs w:val="20"/>
              </w:rPr>
              <w:t>La conception devra être compatible avec l’usage du bâtiment et ses besoins énergétiques, en prenant en compte l’ensemble des conditions de sécurité d’une centrale solaire (photovoltaïque ou thermique), notamment dans le cas d’Etablis</w:t>
            </w:r>
            <w:r>
              <w:rPr>
                <w:rFonts w:ascii="Calibri" w:eastAsia="Times New Roman" w:hAnsi="Calibri" w:cs="Calibri"/>
                <w:iCs/>
                <w:sz w:val="20"/>
                <w:szCs w:val="20"/>
              </w:rPr>
              <w:t>sement Recevant du Public (ERP)</w:t>
            </w:r>
          </w:p>
          <w:p w:rsidR="00185A4E" w:rsidRPr="00A07442"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Theme="minorHAnsi" w:hAnsiTheme="minorHAnsi" w:cstheme="minorHAnsi"/>
                <w:sz w:val="20"/>
                <w:szCs w:val="20"/>
              </w:rPr>
            </w:pPr>
            <w:r>
              <w:rPr>
                <w:rFonts w:ascii="Calibri" w:eastAsia="Times New Roman" w:hAnsi="Calibri" w:cs="Calibri"/>
                <w:sz w:val="20"/>
                <w:szCs w:val="20"/>
                <w:u w:val="single"/>
              </w:rPr>
              <w:t>En c</w:t>
            </w:r>
            <w:r w:rsidRPr="003F415E">
              <w:rPr>
                <w:rFonts w:ascii="Calibri" w:eastAsia="Times New Roman" w:hAnsi="Calibri" w:cs="Calibri"/>
                <w:sz w:val="20"/>
                <w:szCs w:val="20"/>
                <w:u w:val="single"/>
              </w:rPr>
              <w:t>as de point d’attention choisi</w:t>
            </w:r>
            <w:r w:rsidRPr="003F415E">
              <w:rPr>
                <w:rFonts w:ascii="Calibri" w:eastAsia="Times New Roman" w:hAnsi="Calibri" w:cs="Calibri"/>
                <w:sz w:val="20"/>
                <w:szCs w:val="20"/>
              </w:rPr>
              <w:t> : production PV et note de calcul des consommations énergétiques finales prévisionnelles du bâtiment en fonctionnement (tous usages confondus), précisant le pourcentage des besoins couverts par des énergies renouvelables (tout mode de production confondu : réseau de chaleur, bois-énergie, solaire thermique et photovoltaïque, etc.)</w:t>
            </w:r>
          </w:p>
        </w:tc>
      </w:tr>
      <w:tr w:rsidR="00185A4E" w:rsidRPr="004D26E1" w:rsidTr="002F71EA">
        <w:trPr>
          <w:trHeight w:val="566"/>
        </w:trPr>
        <w:tc>
          <w:tcPr>
            <w:tcW w:w="2573" w:type="dxa"/>
            <w:tcBorders>
              <w:left w:val="single" w:sz="2" w:space="0" w:color="000000"/>
              <w:bottom w:val="single" w:sz="2" w:space="0" w:color="000000"/>
            </w:tcBorders>
            <w:shd w:val="clear" w:color="auto" w:fill="auto"/>
            <w:tcMar>
              <w:left w:w="-2" w:type="dxa"/>
            </w:tcMar>
            <w:vAlign w:val="center"/>
          </w:tcPr>
          <w:p w:rsidR="00185A4E" w:rsidRPr="004D26E1" w:rsidRDefault="00185A4E" w:rsidP="002F71EA">
            <w:pPr>
              <w:keepNext w:val="0"/>
              <w:autoSpaceDE w:val="0"/>
              <w:snapToGrid w:val="0"/>
              <w:spacing w:before="70" w:after="70"/>
              <w:ind w:left="113" w:right="113"/>
              <w:jc w:val="center"/>
              <w:rPr>
                <w:rFonts w:asciiTheme="minorHAnsi" w:hAnsiTheme="minorHAnsi" w:cstheme="minorHAnsi"/>
                <w:b/>
                <w:bCs/>
                <w:sz w:val="20"/>
                <w:szCs w:val="20"/>
              </w:rPr>
            </w:pPr>
            <w:r w:rsidRPr="004D26E1">
              <w:rPr>
                <w:rFonts w:asciiTheme="minorHAnsi" w:hAnsiTheme="minorHAnsi" w:cstheme="minorHAnsi"/>
                <w:b/>
                <w:bCs/>
                <w:sz w:val="20"/>
                <w:szCs w:val="20"/>
              </w:rPr>
              <w:t>Confort d’été</w:t>
            </w:r>
          </w:p>
        </w:tc>
        <w:tc>
          <w:tcPr>
            <w:tcW w:w="7087" w:type="dxa"/>
            <w:tcBorders>
              <w:left w:val="single" w:sz="2" w:space="0" w:color="000000"/>
              <w:bottom w:val="single" w:sz="2" w:space="0" w:color="000000"/>
              <w:right w:val="single" w:sz="4" w:space="0" w:color="auto"/>
            </w:tcBorders>
            <w:shd w:val="clear" w:color="auto" w:fill="auto"/>
            <w:vAlign w:val="center"/>
          </w:tcPr>
          <w:p w:rsidR="00185A4E" w:rsidRPr="003F415E"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iCs/>
                <w:sz w:val="20"/>
                <w:szCs w:val="20"/>
              </w:rPr>
            </w:pPr>
            <w:r w:rsidRPr="003F415E">
              <w:rPr>
                <w:rFonts w:ascii="Calibri" w:eastAsia="Times New Roman" w:hAnsi="Calibri" w:cs="Calibri"/>
                <w:iCs/>
                <w:sz w:val="20"/>
                <w:szCs w:val="20"/>
              </w:rPr>
              <w:t>Résultats de la simulation thermique dynamique (réalisée de préférence dès l’APS)</w:t>
            </w:r>
          </w:p>
          <w:p w:rsidR="00185A4E" w:rsidRPr="003F415E" w:rsidRDefault="00185A4E" w:rsidP="00185A4E">
            <w:pPr>
              <w:keepNext w:val="0"/>
              <w:widowControl/>
              <w:numPr>
                <w:ilvl w:val="0"/>
                <w:numId w:val="4"/>
              </w:numPr>
              <w:shd w:val="clear" w:color="auto" w:fill="auto"/>
              <w:suppressAutoHyphens w:val="0"/>
              <w:spacing w:before="60" w:after="60"/>
              <w:ind w:left="170" w:right="57" w:hanging="113"/>
              <w:textAlignment w:val="auto"/>
              <w:rPr>
                <w:rFonts w:ascii="Calibri" w:eastAsia="Times New Roman" w:hAnsi="Calibri" w:cs="Calibri"/>
                <w:iCs/>
                <w:sz w:val="20"/>
                <w:szCs w:val="20"/>
              </w:rPr>
            </w:pPr>
            <w:r w:rsidRPr="003F415E">
              <w:rPr>
                <w:rFonts w:ascii="Calibri" w:eastAsia="Times New Roman" w:hAnsi="Calibri" w:cs="Calibri"/>
                <w:iCs/>
                <w:sz w:val="20"/>
                <w:szCs w:val="20"/>
              </w:rPr>
              <w:t>Note précisant les solutions de réduction des périodes d’inconfort (sur-ventilation, protection solaires passives…)</w:t>
            </w:r>
          </w:p>
        </w:tc>
      </w:tr>
      <w:tr w:rsidR="00185A4E" w:rsidRPr="004D26E1" w:rsidTr="002F71EA">
        <w:trPr>
          <w:trHeight w:val="566"/>
        </w:trPr>
        <w:tc>
          <w:tcPr>
            <w:tcW w:w="2573" w:type="dxa"/>
            <w:tcBorders>
              <w:left w:val="single" w:sz="2" w:space="0" w:color="000000"/>
            </w:tcBorders>
            <w:shd w:val="clear" w:color="auto" w:fill="auto"/>
            <w:tcMar>
              <w:left w:w="-2" w:type="dxa"/>
            </w:tcMar>
            <w:vAlign w:val="center"/>
          </w:tcPr>
          <w:p w:rsidR="00185A4E" w:rsidRPr="004D26E1" w:rsidRDefault="00185A4E" w:rsidP="002F71EA">
            <w:pPr>
              <w:keepNext w:val="0"/>
              <w:autoSpaceDE w:val="0"/>
              <w:snapToGrid w:val="0"/>
              <w:spacing w:before="70" w:after="70"/>
              <w:ind w:left="113" w:right="113"/>
              <w:jc w:val="center"/>
              <w:rPr>
                <w:rFonts w:asciiTheme="minorHAnsi" w:hAnsiTheme="minorHAnsi" w:cstheme="minorHAnsi"/>
                <w:b/>
                <w:bCs/>
                <w:sz w:val="20"/>
                <w:szCs w:val="20"/>
              </w:rPr>
            </w:pPr>
            <w:r>
              <w:rPr>
                <w:rFonts w:asciiTheme="minorHAnsi" w:hAnsiTheme="minorHAnsi" w:cstheme="minorHAnsi"/>
                <w:b/>
                <w:bCs/>
                <w:sz w:val="20"/>
                <w:szCs w:val="20"/>
              </w:rPr>
              <w:t>Qualité de l’air intérieur</w:t>
            </w:r>
          </w:p>
        </w:tc>
        <w:tc>
          <w:tcPr>
            <w:tcW w:w="7087" w:type="dxa"/>
            <w:tcBorders>
              <w:left w:val="single" w:sz="2" w:space="0" w:color="000000"/>
              <w:right w:val="single" w:sz="4" w:space="0" w:color="auto"/>
            </w:tcBorders>
            <w:shd w:val="clear" w:color="auto" w:fill="auto"/>
            <w:tcMar>
              <w:left w:w="-2" w:type="dxa"/>
            </w:tcMar>
            <w:vAlign w:val="center"/>
          </w:tcPr>
          <w:p w:rsidR="00185A4E" w:rsidRPr="003F2B36" w:rsidRDefault="00185A4E" w:rsidP="00185A4E">
            <w:pPr>
              <w:pStyle w:val="Paragraphedeliste"/>
              <w:keepNext w:val="0"/>
              <w:numPr>
                <w:ilvl w:val="0"/>
                <w:numId w:val="4"/>
              </w:numPr>
              <w:autoSpaceDE w:val="0"/>
              <w:snapToGrid w:val="0"/>
              <w:spacing w:before="60" w:after="60"/>
              <w:ind w:left="170" w:right="57" w:hanging="113"/>
              <w:rPr>
                <w:rFonts w:asciiTheme="minorHAnsi" w:hAnsiTheme="minorHAnsi"/>
                <w:color w:val="000000"/>
                <w:sz w:val="20"/>
              </w:rPr>
            </w:pPr>
            <w:r w:rsidRPr="003F2B36">
              <w:rPr>
                <w:rFonts w:asciiTheme="minorHAnsi" w:hAnsiTheme="minorHAnsi" w:cstheme="minorHAnsi"/>
                <w:sz w:val="20"/>
                <w:szCs w:val="20"/>
              </w:rPr>
              <w:t xml:space="preserve">Une </w:t>
            </w:r>
            <w:r w:rsidRPr="003F2B36">
              <w:rPr>
                <w:rFonts w:asciiTheme="minorHAnsi" w:hAnsiTheme="minorHAnsi"/>
                <w:color w:val="000000"/>
                <w:sz w:val="20"/>
              </w:rPr>
              <w:t xml:space="preserve">attention particulière devra être portée sur la qualité de la conception des systèmes de renouvellement d’air, sur la rigueur et la qualité de leur mise en œuvre </w:t>
            </w:r>
            <w:r w:rsidRPr="003F2B36">
              <w:rPr>
                <w:rFonts w:asciiTheme="minorHAnsi" w:hAnsiTheme="minorHAnsi"/>
                <w:color w:val="000000"/>
                <w:sz w:val="20"/>
              </w:rPr>
              <w:lastRenderedPageBreak/>
              <w:t>ainsi que sur la facilitation de leur maintenance</w:t>
            </w:r>
          </w:p>
          <w:p w:rsidR="00185A4E" w:rsidRPr="003F2B36" w:rsidRDefault="00185A4E" w:rsidP="00185A4E">
            <w:pPr>
              <w:pStyle w:val="Paragraphedeliste"/>
              <w:keepNext w:val="0"/>
              <w:numPr>
                <w:ilvl w:val="0"/>
                <w:numId w:val="4"/>
              </w:numPr>
              <w:autoSpaceDE w:val="0"/>
              <w:snapToGrid w:val="0"/>
              <w:spacing w:before="60" w:after="60"/>
              <w:ind w:left="170" w:right="57" w:hanging="113"/>
              <w:rPr>
                <w:rFonts w:asciiTheme="minorHAnsi" w:hAnsiTheme="minorHAnsi" w:cstheme="minorHAnsi"/>
                <w:sz w:val="20"/>
                <w:szCs w:val="20"/>
              </w:rPr>
            </w:pPr>
            <w:r w:rsidRPr="003F2B36">
              <w:rPr>
                <w:rFonts w:asciiTheme="minorHAnsi" w:hAnsiTheme="minorHAnsi" w:cs="Tahoma"/>
                <w:sz w:val="20"/>
                <w:szCs w:val="20"/>
              </w:rPr>
              <w:t>Résultats des tests d’étanchéité à l’air des réseaux de ventilation</w:t>
            </w:r>
          </w:p>
          <w:p w:rsidR="00185A4E" w:rsidRPr="00B93442" w:rsidRDefault="00185A4E" w:rsidP="00185A4E">
            <w:pPr>
              <w:pStyle w:val="Paragraphedeliste"/>
              <w:keepNext w:val="0"/>
              <w:numPr>
                <w:ilvl w:val="0"/>
                <w:numId w:val="4"/>
              </w:numPr>
              <w:autoSpaceDE w:val="0"/>
              <w:snapToGrid w:val="0"/>
              <w:spacing w:before="60" w:after="60"/>
              <w:ind w:left="170" w:right="57" w:hanging="113"/>
              <w:rPr>
                <w:rFonts w:asciiTheme="minorHAnsi" w:hAnsiTheme="minorHAnsi" w:cstheme="minorHAnsi"/>
                <w:sz w:val="20"/>
                <w:szCs w:val="20"/>
              </w:rPr>
            </w:pPr>
            <w:r w:rsidRPr="003F2B36">
              <w:rPr>
                <w:rFonts w:asciiTheme="minorHAnsi" w:hAnsiTheme="minorHAnsi" w:cs="Tahoma"/>
                <w:sz w:val="20"/>
                <w:szCs w:val="20"/>
              </w:rPr>
              <w:t>Si le projet est situé dans une commune à potentiel radon de catégorie 3</w:t>
            </w:r>
            <w:r>
              <w:rPr>
                <w:rFonts w:asciiTheme="minorHAnsi" w:hAnsiTheme="minorHAnsi" w:cs="Tahoma"/>
                <w:sz w:val="20"/>
                <w:szCs w:val="20"/>
              </w:rPr>
              <w:t xml:space="preserve">, fournir </w:t>
            </w:r>
            <w:r w:rsidRPr="00B93442">
              <w:rPr>
                <w:rFonts w:asciiTheme="minorHAnsi" w:hAnsiTheme="minorHAnsi" w:cs="Tahoma"/>
                <w:sz w:val="20"/>
                <w:szCs w:val="20"/>
              </w:rPr>
              <w:t>les résultats laboratoire des tests radon</w:t>
            </w:r>
          </w:p>
          <w:p w:rsidR="00185A4E" w:rsidRPr="00B93442" w:rsidRDefault="00185A4E" w:rsidP="002F71EA">
            <w:pPr>
              <w:pStyle w:val="Paragraphedeliste"/>
              <w:keepNext w:val="0"/>
              <w:autoSpaceDE w:val="0"/>
              <w:snapToGrid w:val="0"/>
              <w:spacing w:before="60" w:after="60"/>
              <w:ind w:left="284" w:right="57"/>
              <w:rPr>
                <w:rFonts w:asciiTheme="minorHAnsi" w:hAnsiTheme="minorHAnsi" w:cstheme="minorHAnsi"/>
                <w:sz w:val="18"/>
                <w:szCs w:val="18"/>
              </w:rPr>
            </w:pPr>
            <w:hyperlink r:id="rId5" w:anchor=".Yh3n_y_pORs" w:history="1">
              <w:r w:rsidRPr="00402A52">
                <w:rPr>
                  <w:rStyle w:val="Lienhypertexte"/>
                  <w:rFonts w:asciiTheme="minorHAnsi" w:hAnsiTheme="minorHAnsi" w:cs="Tahoma"/>
                  <w:sz w:val="18"/>
                  <w:szCs w:val="18"/>
                </w:rPr>
                <w:t>https://www.irsn.fr/FR/connaissances/Environnement/expertises-radioactivite-naturelle/radon/Pages/5-cartographie-potentiel-radon-commune.aspx#.Yh3n_y_pORs</w:t>
              </w:r>
            </w:hyperlink>
          </w:p>
        </w:tc>
      </w:tr>
      <w:tr w:rsidR="00185A4E" w:rsidTr="002F71EA">
        <w:trPr>
          <w:trHeight w:val="566"/>
        </w:trPr>
        <w:tc>
          <w:tcPr>
            <w:tcW w:w="2573" w:type="dxa"/>
            <w:tcBorders>
              <w:left w:val="single" w:sz="2" w:space="0" w:color="000000"/>
            </w:tcBorders>
            <w:shd w:val="clear" w:color="auto" w:fill="auto"/>
            <w:tcMar>
              <w:left w:w="-2" w:type="dxa"/>
            </w:tcMar>
            <w:vAlign w:val="center"/>
          </w:tcPr>
          <w:p w:rsidR="00185A4E" w:rsidRPr="004D26E1" w:rsidRDefault="00185A4E" w:rsidP="002F71EA">
            <w:pPr>
              <w:keepNext w:val="0"/>
              <w:autoSpaceDE w:val="0"/>
              <w:snapToGrid w:val="0"/>
              <w:spacing w:before="70" w:after="70"/>
              <w:ind w:left="113" w:right="113"/>
              <w:jc w:val="center"/>
              <w:rPr>
                <w:rFonts w:asciiTheme="minorHAnsi" w:hAnsiTheme="minorHAnsi" w:cstheme="minorHAnsi"/>
                <w:b/>
                <w:bCs/>
                <w:sz w:val="20"/>
                <w:szCs w:val="20"/>
              </w:rPr>
            </w:pPr>
            <w:r>
              <w:rPr>
                <w:rFonts w:asciiTheme="minorHAnsi" w:hAnsiTheme="minorHAnsi" w:cstheme="minorHAnsi"/>
                <w:b/>
                <w:bCs/>
                <w:sz w:val="20"/>
                <w:szCs w:val="20"/>
              </w:rPr>
              <w:lastRenderedPageBreak/>
              <w:t>Gestion et valorisation des déchets de chantier</w:t>
            </w:r>
          </w:p>
        </w:tc>
        <w:tc>
          <w:tcPr>
            <w:tcW w:w="7087" w:type="dxa"/>
            <w:tcBorders>
              <w:left w:val="single" w:sz="2" w:space="0" w:color="000000"/>
              <w:bottom w:val="single" w:sz="2" w:space="0" w:color="000000"/>
              <w:right w:val="single" w:sz="4" w:space="0" w:color="auto"/>
            </w:tcBorders>
            <w:shd w:val="clear" w:color="auto" w:fill="auto"/>
            <w:tcMar>
              <w:left w:w="-2" w:type="dxa"/>
            </w:tcMar>
            <w:vAlign w:val="center"/>
          </w:tcPr>
          <w:p w:rsidR="00185A4E" w:rsidRPr="002F550C" w:rsidRDefault="00185A4E" w:rsidP="002F71EA">
            <w:pPr>
              <w:keepNext w:val="0"/>
              <w:shd w:val="clear" w:color="auto" w:fill="auto"/>
              <w:spacing w:before="60" w:after="60"/>
              <w:ind w:left="57" w:right="57"/>
              <w:jc w:val="both"/>
              <w:rPr>
                <w:rFonts w:asciiTheme="minorHAnsi" w:hAnsiTheme="minorHAnsi"/>
                <w:sz w:val="20"/>
                <w:szCs w:val="20"/>
              </w:rPr>
            </w:pPr>
            <w:r w:rsidRPr="002F550C">
              <w:rPr>
                <w:rFonts w:asciiTheme="minorHAnsi" w:hAnsiTheme="minorHAnsi"/>
                <w:sz w:val="20"/>
                <w:szCs w:val="20"/>
              </w:rPr>
              <w:t>Privilégier les matériaux et équipements faiblement producteurs de déchets</w:t>
            </w:r>
          </w:p>
          <w:p w:rsidR="00185A4E" w:rsidRDefault="00185A4E" w:rsidP="002F71EA">
            <w:pPr>
              <w:keepNext w:val="0"/>
              <w:shd w:val="clear" w:color="auto" w:fill="auto"/>
              <w:spacing w:before="60" w:after="60"/>
              <w:ind w:left="57" w:right="57"/>
              <w:jc w:val="both"/>
              <w:rPr>
                <w:rFonts w:asciiTheme="minorHAnsi" w:hAnsiTheme="minorHAnsi"/>
                <w:sz w:val="20"/>
                <w:szCs w:val="20"/>
              </w:rPr>
            </w:pPr>
            <w:r>
              <w:rPr>
                <w:rFonts w:asciiTheme="minorHAnsi" w:hAnsiTheme="minorHAnsi"/>
                <w:sz w:val="20"/>
                <w:szCs w:val="20"/>
              </w:rPr>
              <w:t>Fournir le rapport du diagnostic portant sur la gestion des Produits, Equipements, Matériaux et Déchets issus de la démolition ou de la rénovation</w:t>
            </w:r>
          </w:p>
          <w:p w:rsidR="00185A4E" w:rsidRPr="00034E42" w:rsidRDefault="00185A4E" w:rsidP="002F71EA">
            <w:pPr>
              <w:keepNext w:val="0"/>
              <w:shd w:val="clear" w:color="auto" w:fill="auto"/>
              <w:spacing w:before="60" w:after="60"/>
              <w:ind w:left="57" w:right="57"/>
              <w:jc w:val="both"/>
              <w:rPr>
                <w:rFonts w:asciiTheme="minorHAnsi" w:hAnsiTheme="minorHAnsi" w:cs="Tahoma"/>
                <w:sz w:val="20"/>
                <w:szCs w:val="20"/>
              </w:rPr>
            </w:pPr>
          </w:p>
        </w:tc>
      </w:tr>
      <w:tr w:rsidR="00185A4E" w:rsidTr="002F71EA">
        <w:trPr>
          <w:trHeight w:val="566"/>
        </w:trPr>
        <w:tc>
          <w:tcPr>
            <w:tcW w:w="2573" w:type="dxa"/>
            <w:tcBorders>
              <w:left w:val="single" w:sz="2" w:space="0" w:color="000000"/>
            </w:tcBorders>
            <w:shd w:val="clear" w:color="auto" w:fill="auto"/>
            <w:tcMar>
              <w:left w:w="-2" w:type="dxa"/>
            </w:tcMar>
            <w:vAlign w:val="center"/>
          </w:tcPr>
          <w:p w:rsidR="00185A4E" w:rsidRDefault="00185A4E" w:rsidP="002F71EA">
            <w:pPr>
              <w:keepNext w:val="0"/>
              <w:autoSpaceDE w:val="0"/>
              <w:snapToGrid w:val="0"/>
              <w:spacing w:before="70" w:after="70"/>
              <w:ind w:left="113" w:right="113"/>
              <w:jc w:val="center"/>
              <w:rPr>
                <w:rFonts w:asciiTheme="minorHAnsi" w:hAnsiTheme="minorHAnsi" w:cstheme="minorHAnsi"/>
                <w:b/>
                <w:bCs/>
                <w:sz w:val="20"/>
                <w:szCs w:val="20"/>
              </w:rPr>
            </w:pPr>
            <w:r>
              <w:rPr>
                <w:rFonts w:asciiTheme="minorHAnsi" w:hAnsiTheme="minorHAnsi" w:cs="Arial"/>
                <w:b/>
                <w:sz w:val="20"/>
                <w:szCs w:val="20"/>
              </w:rPr>
              <w:t>Vie et usage du bâtiment</w:t>
            </w:r>
          </w:p>
        </w:tc>
        <w:tc>
          <w:tcPr>
            <w:tcW w:w="7087" w:type="dxa"/>
            <w:tcBorders>
              <w:left w:val="single" w:sz="2" w:space="0" w:color="000000"/>
              <w:right w:val="single" w:sz="4" w:space="0" w:color="auto"/>
            </w:tcBorders>
            <w:shd w:val="clear" w:color="auto" w:fill="auto"/>
            <w:vAlign w:val="center"/>
          </w:tcPr>
          <w:p w:rsidR="00185A4E" w:rsidRPr="00034E42" w:rsidRDefault="00185A4E" w:rsidP="002F71EA">
            <w:pPr>
              <w:keepNext w:val="0"/>
              <w:shd w:val="clear" w:color="auto" w:fill="auto"/>
              <w:autoSpaceDE w:val="0"/>
              <w:snapToGrid w:val="0"/>
              <w:spacing w:before="60" w:after="60"/>
              <w:ind w:left="57" w:right="57"/>
              <w:rPr>
                <w:rFonts w:asciiTheme="minorHAnsi" w:hAnsiTheme="minorHAnsi"/>
                <w:sz w:val="20"/>
                <w:szCs w:val="20"/>
              </w:rPr>
            </w:pPr>
            <w:r>
              <w:rPr>
                <w:rFonts w:asciiTheme="minorHAnsi" w:hAnsiTheme="minorHAnsi" w:cstheme="minorHAnsi"/>
                <w:sz w:val="20"/>
                <w:szCs w:val="20"/>
              </w:rPr>
              <w:t xml:space="preserve">Note descriptive des </w:t>
            </w:r>
            <w:r w:rsidRPr="00A10476">
              <w:rPr>
                <w:rFonts w:asciiTheme="minorHAnsi" w:hAnsiTheme="minorHAnsi"/>
                <w:sz w:val="20"/>
                <w:szCs w:val="20"/>
              </w:rPr>
              <w:t>outils qui seront mis en œuvre pour informer</w:t>
            </w:r>
            <w:r w:rsidRPr="004D26E1">
              <w:rPr>
                <w:rFonts w:asciiTheme="minorHAnsi" w:hAnsiTheme="minorHAnsi"/>
                <w:sz w:val="20"/>
                <w:szCs w:val="20"/>
              </w:rPr>
              <w:t xml:space="preserve"> les usagers sur le fonctionnement du bâtiment</w:t>
            </w:r>
            <w:r>
              <w:rPr>
                <w:rFonts w:asciiTheme="minorHAnsi" w:hAnsiTheme="minorHAnsi"/>
                <w:sz w:val="20"/>
                <w:szCs w:val="20"/>
              </w:rPr>
              <w:t xml:space="preserve"> et faciliter leur appropriation</w:t>
            </w:r>
          </w:p>
        </w:tc>
      </w:tr>
      <w:tr w:rsidR="00185A4E" w:rsidRPr="004D26E1" w:rsidTr="002F71EA">
        <w:trPr>
          <w:trHeight w:val="556"/>
        </w:trPr>
        <w:tc>
          <w:tcPr>
            <w:tcW w:w="2573" w:type="dxa"/>
            <w:tcBorders>
              <w:left w:val="single" w:sz="2" w:space="0" w:color="000000"/>
              <w:bottom w:val="single" w:sz="2" w:space="0" w:color="000000"/>
            </w:tcBorders>
            <w:shd w:val="clear" w:color="auto" w:fill="auto"/>
            <w:tcMar>
              <w:left w:w="-2" w:type="dxa"/>
            </w:tcMar>
            <w:vAlign w:val="center"/>
          </w:tcPr>
          <w:p w:rsidR="00185A4E" w:rsidRPr="00E02BEC" w:rsidRDefault="00185A4E" w:rsidP="002F71EA">
            <w:pPr>
              <w:keepNext w:val="0"/>
              <w:autoSpaceDE w:val="0"/>
              <w:snapToGrid w:val="0"/>
              <w:spacing w:before="70" w:after="70"/>
              <w:ind w:left="113" w:right="113"/>
              <w:jc w:val="center"/>
              <w:rPr>
                <w:rFonts w:asciiTheme="minorHAnsi" w:hAnsiTheme="minorHAnsi" w:cstheme="minorHAnsi"/>
                <w:b/>
                <w:bCs/>
                <w:sz w:val="20"/>
                <w:szCs w:val="20"/>
              </w:rPr>
            </w:pPr>
            <w:r>
              <w:rPr>
                <w:rFonts w:asciiTheme="minorHAnsi" w:hAnsiTheme="minorHAnsi" w:cs="Arial"/>
                <w:b/>
                <w:sz w:val="20"/>
                <w:szCs w:val="20"/>
              </w:rPr>
              <w:t>P</w:t>
            </w:r>
            <w:r w:rsidRPr="00E02BEC">
              <w:rPr>
                <w:rFonts w:asciiTheme="minorHAnsi" w:hAnsiTheme="minorHAnsi" w:cs="Arial"/>
                <w:b/>
                <w:sz w:val="20"/>
                <w:szCs w:val="20"/>
              </w:rPr>
              <w:t>hase de conception</w:t>
            </w:r>
            <w:r>
              <w:rPr>
                <w:rFonts w:asciiTheme="minorHAnsi" w:hAnsiTheme="minorHAnsi" w:cs="Arial"/>
                <w:b/>
                <w:sz w:val="20"/>
                <w:szCs w:val="20"/>
              </w:rPr>
              <w:t xml:space="preserve"> du projet intensifiée</w:t>
            </w:r>
          </w:p>
        </w:tc>
        <w:tc>
          <w:tcPr>
            <w:tcW w:w="7087" w:type="dxa"/>
            <w:tcBorders>
              <w:left w:val="single" w:sz="2" w:space="0" w:color="000000"/>
              <w:bottom w:val="single" w:sz="2" w:space="0" w:color="000000"/>
              <w:right w:val="single" w:sz="4" w:space="0" w:color="auto"/>
            </w:tcBorders>
            <w:shd w:val="clear" w:color="auto" w:fill="auto"/>
            <w:vAlign w:val="center"/>
          </w:tcPr>
          <w:p w:rsidR="00185A4E" w:rsidRPr="00E934BA" w:rsidRDefault="00185A4E" w:rsidP="00185A4E">
            <w:pPr>
              <w:pStyle w:val="Paragraphedeliste"/>
              <w:keepNext w:val="0"/>
              <w:numPr>
                <w:ilvl w:val="0"/>
                <w:numId w:val="4"/>
              </w:numPr>
              <w:shd w:val="clear" w:color="auto" w:fill="auto"/>
              <w:spacing w:before="60" w:after="60"/>
              <w:ind w:left="170" w:right="57" w:hanging="113"/>
              <w:rPr>
                <w:rFonts w:asciiTheme="minorHAnsi" w:hAnsiTheme="minorHAnsi" w:cstheme="minorHAnsi"/>
                <w:sz w:val="20"/>
                <w:szCs w:val="20"/>
              </w:rPr>
            </w:pPr>
            <w:r w:rsidRPr="00E934BA">
              <w:rPr>
                <w:rFonts w:asciiTheme="minorHAnsi" w:hAnsiTheme="minorHAnsi" w:cstheme="minorHAnsi"/>
                <w:sz w:val="20"/>
                <w:szCs w:val="20"/>
              </w:rPr>
              <w:t>Mettre en place une démarche BIM prévoyant la signature d’une Convention entre les acteurs du projet</w:t>
            </w:r>
          </w:p>
          <w:p w:rsidR="00185A4E" w:rsidRPr="00034E42" w:rsidRDefault="00185A4E" w:rsidP="00185A4E">
            <w:pPr>
              <w:pStyle w:val="Paragraphedeliste"/>
              <w:keepNext w:val="0"/>
              <w:numPr>
                <w:ilvl w:val="0"/>
                <w:numId w:val="4"/>
              </w:numPr>
              <w:shd w:val="clear" w:color="auto" w:fill="auto"/>
              <w:autoSpaceDE w:val="0"/>
              <w:snapToGrid w:val="0"/>
              <w:spacing w:before="60" w:after="60"/>
              <w:ind w:left="170" w:right="57" w:hanging="113"/>
              <w:rPr>
                <w:rFonts w:asciiTheme="minorHAnsi" w:hAnsiTheme="minorHAnsi" w:cstheme="minorHAnsi"/>
                <w:sz w:val="20"/>
                <w:szCs w:val="20"/>
              </w:rPr>
            </w:pPr>
            <w:r w:rsidRPr="00E934BA">
              <w:rPr>
                <w:rFonts w:asciiTheme="minorHAnsi" w:hAnsiTheme="minorHAnsi" w:cstheme="minorHAnsi"/>
                <w:sz w:val="20"/>
                <w:szCs w:val="20"/>
              </w:rPr>
              <w:t>Note descriptive de la démarche, des méthode</w:t>
            </w:r>
            <w:r>
              <w:rPr>
                <w:rFonts w:asciiTheme="minorHAnsi" w:hAnsiTheme="minorHAnsi" w:cstheme="minorHAnsi"/>
                <w:sz w:val="20"/>
                <w:szCs w:val="20"/>
              </w:rPr>
              <w:t>s de concertation, des acteurs, précision sur la prise en compte de l’expertise d’usage</w:t>
            </w:r>
            <w:r w:rsidRPr="00E934BA">
              <w:rPr>
                <w:rFonts w:asciiTheme="minorHAnsi" w:hAnsiTheme="minorHAnsi" w:cstheme="minorHAnsi"/>
                <w:sz w:val="20"/>
                <w:szCs w:val="20"/>
              </w:rPr>
              <w:t>…</w:t>
            </w:r>
          </w:p>
        </w:tc>
      </w:tr>
      <w:tr w:rsidR="00185A4E" w:rsidRPr="004D26E1" w:rsidTr="002F71EA">
        <w:trPr>
          <w:trHeight w:val="556"/>
        </w:trPr>
        <w:tc>
          <w:tcPr>
            <w:tcW w:w="2573" w:type="dxa"/>
            <w:tcBorders>
              <w:left w:val="single" w:sz="2" w:space="0" w:color="000000"/>
            </w:tcBorders>
            <w:shd w:val="clear" w:color="auto" w:fill="auto"/>
            <w:tcMar>
              <w:left w:w="-2" w:type="dxa"/>
            </w:tcMar>
            <w:vAlign w:val="center"/>
          </w:tcPr>
          <w:p w:rsidR="00185A4E" w:rsidRPr="004D26E1" w:rsidRDefault="00185A4E" w:rsidP="002F71EA">
            <w:pPr>
              <w:keepNext w:val="0"/>
              <w:shd w:val="clear" w:color="auto" w:fill="auto"/>
              <w:autoSpaceDE w:val="0"/>
              <w:snapToGrid w:val="0"/>
              <w:spacing w:before="70" w:after="70"/>
              <w:ind w:left="113" w:right="113"/>
              <w:jc w:val="center"/>
              <w:rPr>
                <w:rFonts w:asciiTheme="minorHAnsi" w:hAnsiTheme="minorHAnsi" w:cstheme="minorHAnsi"/>
                <w:b/>
                <w:bCs/>
                <w:sz w:val="20"/>
                <w:szCs w:val="20"/>
              </w:rPr>
            </w:pPr>
            <w:r>
              <w:rPr>
                <w:rFonts w:asciiTheme="minorHAnsi" w:hAnsiTheme="minorHAnsi" w:cstheme="minorHAnsi"/>
                <w:b/>
                <w:bCs/>
                <w:sz w:val="20"/>
                <w:szCs w:val="20"/>
              </w:rPr>
              <w:t>Réemploi / recyclage</w:t>
            </w:r>
          </w:p>
        </w:tc>
        <w:tc>
          <w:tcPr>
            <w:tcW w:w="7087" w:type="dxa"/>
            <w:tcBorders>
              <w:left w:val="single" w:sz="2" w:space="0" w:color="000000"/>
              <w:bottom w:val="single" w:sz="2" w:space="0" w:color="000000"/>
              <w:right w:val="single" w:sz="4" w:space="0" w:color="auto"/>
            </w:tcBorders>
            <w:shd w:val="clear" w:color="auto" w:fill="auto"/>
            <w:tcMar>
              <w:left w:w="-2" w:type="dxa"/>
            </w:tcMar>
            <w:vAlign w:val="center"/>
          </w:tcPr>
          <w:p w:rsidR="00185A4E" w:rsidRDefault="00185A4E" w:rsidP="00185A4E">
            <w:pPr>
              <w:pStyle w:val="Paragraphedeliste"/>
              <w:keepNext w:val="0"/>
              <w:numPr>
                <w:ilvl w:val="0"/>
                <w:numId w:val="4"/>
              </w:numPr>
              <w:shd w:val="clear" w:color="auto" w:fill="auto"/>
              <w:autoSpaceDE w:val="0"/>
              <w:snapToGrid w:val="0"/>
              <w:spacing w:before="60" w:after="60"/>
              <w:ind w:left="170" w:right="57" w:hanging="113"/>
              <w:rPr>
                <w:rFonts w:asciiTheme="minorHAnsi" w:hAnsiTheme="minorHAnsi" w:cstheme="minorHAnsi"/>
                <w:sz w:val="20"/>
                <w:szCs w:val="20"/>
              </w:rPr>
            </w:pPr>
            <w:r w:rsidRPr="00402A52">
              <w:rPr>
                <w:rFonts w:asciiTheme="minorHAnsi" w:hAnsiTheme="minorHAnsi" w:cstheme="minorHAnsi"/>
                <w:sz w:val="20"/>
                <w:szCs w:val="20"/>
              </w:rPr>
              <w:t>Fournir l’extrait du dossier de consultation des entreprises (exemple : lot 0)</w:t>
            </w:r>
          </w:p>
          <w:p w:rsidR="00185A4E" w:rsidRPr="00402A52" w:rsidRDefault="00185A4E" w:rsidP="00185A4E">
            <w:pPr>
              <w:pStyle w:val="Paragraphedeliste"/>
              <w:keepNext w:val="0"/>
              <w:numPr>
                <w:ilvl w:val="0"/>
                <w:numId w:val="4"/>
              </w:numPr>
              <w:shd w:val="clear" w:color="auto" w:fill="auto"/>
              <w:autoSpaceDE w:val="0"/>
              <w:snapToGrid w:val="0"/>
              <w:spacing w:before="60" w:after="60"/>
              <w:ind w:left="170" w:right="57" w:hanging="113"/>
              <w:rPr>
                <w:rFonts w:asciiTheme="minorHAnsi" w:hAnsiTheme="minorHAnsi" w:cstheme="minorHAnsi"/>
                <w:sz w:val="20"/>
                <w:szCs w:val="20"/>
              </w:rPr>
            </w:pPr>
            <w:r>
              <w:rPr>
                <w:rFonts w:asciiTheme="minorHAnsi" w:hAnsiTheme="minorHAnsi" w:cstheme="minorHAnsi"/>
                <w:sz w:val="20"/>
                <w:szCs w:val="20"/>
              </w:rPr>
              <w:t>Fournir le taux d’incorporation des matériaux issus du réemploi / de la réutilisation</w:t>
            </w:r>
          </w:p>
          <w:p w:rsidR="00185A4E" w:rsidRPr="00034E42" w:rsidRDefault="00185A4E" w:rsidP="00185A4E">
            <w:pPr>
              <w:pStyle w:val="Paragraphedeliste"/>
              <w:keepNext w:val="0"/>
              <w:numPr>
                <w:ilvl w:val="0"/>
                <w:numId w:val="4"/>
              </w:numPr>
              <w:shd w:val="clear" w:color="auto" w:fill="auto"/>
              <w:autoSpaceDE w:val="0"/>
              <w:snapToGrid w:val="0"/>
              <w:spacing w:before="60" w:after="60"/>
              <w:ind w:left="170" w:right="57" w:hanging="113"/>
              <w:rPr>
                <w:rFonts w:asciiTheme="minorHAnsi" w:hAnsiTheme="minorHAnsi" w:cstheme="minorHAnsi"/>
                <w:sz w:val="20"/>
                <w:szCs w:val="20"/>
              </w:rPr>
            </w:pPr>
            <w:r>
              <w:rPr>
                <w:rFonts w:asciiTheme="minorHAnsi" w:hAnsiTheme="minorHAnsi" w:cstheme="minorHAnsi"/>
                <w:sz w:val="20"/>
                <w:szCs w:val="20"/>
              </w:rPr>
              <w:t>J</w:t>
            </w:r>
            <w:r w:rsidRPr="00402A52">
              <w:rPr>
                <w:rFonts w:asciiTheme="minorHAnsi" w:hAnsiTheme="minorHAnsi" w:cstheme="minorHAnsi"/>
                <w:sz w:val="20"/>
                <w:szCs w:val="20"/>
              </w:rPr>
              <w:t>ustifier de la compétence réemploi en AMO ou dans l’équipe de maîtrise d’œuvre</w:t>
            </w:r>
          </w:p>
        </w:tc>
      </w:tr>
      <w:tr w:rsidR="00185A4E" w:rsidRPr="004D26E1" w:rsidTr="002F71EA">
        <w:trPr>
          <w:trHeight w:val="556"/>
        </w:trPr>
        <w:tc>
          <w:tcPr>
            <w:tcW w:w="2573" w:type="dxa"/>
            <w:tcBorders>
              <w:left w:val="single" w:sz="2" w:space="0" w:color="000000"/>
            </w:tcBorders>
            <w:shd w:val="clear" w:color="auto" w:fill="auto"/>
            <w:tcMar>
              <w:left w:w="-2" w:type="dxa"/>
            </w:tcMar>
            <w:vAlign w:val="center"/>
          </w:tcPr>
          <w:p w:rsidR="00185A4E" w:rsidRPr="004D26E1" w:rsidRDefault="00185A4E" w:rsidP="002F71EA">
            <w:pPr>
              <w:keepNext w:val="0"/>
              <w:shd w:val="clear" w:color="auto" w:fill="auto"/>
              <w:autoSpaceDE w:val="0"/>
              <w:snapToGrid w:val="0"/>
              <w:spacing w:before="70" w:after="70"/>
              <w:ind w:left="113" w:right="113"/>
              <w:jc w:val="center"/>
              <w:rPr>
                <w:rFonts w:asciiTheme="minorHAnsi" w:hAnsiTheme="minorHAnsi" w:cstheme="minorHAnsi"/>
                <w:b/>
                <w:bCs/>
                <w:sz w:val="20"/>
                <w:szCs w:val="20"/>
              </w:rPr>
            </w:pPr>
            <w:r>
              <w:rPr>
                <w:rFonts w:asciiTheme="minorHAnsi" w:hAnsiTheme="minorHAnsi" w:cstheme="minorHAnsi"/>
                <w:b/>
                <w:bCs/>
                <w:sz w:val="20"/>
                <w:szCs w:val="20"/>
              </w:rPr>
              <w:t xml:space="preserve">Santé des occupants </w:t>
            </w:r>
          </w:p>
        </w:tc>
        <w:tc>
          <w:tcPr>
            <w:tcW w:w="7087" w:type="dxa"/>
            <w:tcBorders>
              <w:left w:val="single" w:sz="2" w:space="0" w:color="000000"/>
              <w:right w:val="single" w:sz="4" w:space="0" w:color="auto"/>
            </w:tcBorders>
            <w:shd w:val="clear" w:color="auto" w:fill="auto"/>
            <w:vAlign w:val="center"/>
          </w:tcPr>
          <w:p w:rsidR="00185A4E" w:rsidRPr="00783CD0" w:rsidRDefault="00185A4E" w:rsidP="002F71EA">
            <w:pPr>
              <w:keepNext w:val="0"/>
              <w:shd w:val="clear" w:color="auto" w:fill="auto"/>
              <w:tabs>
                <w:tab w:val="left" w:pos="-1945"/>
              </w:tabs>
              <w:autoSpaceDE w:val="0"/>
              <w:snapToGrid w:val="0"/>
              <w:spacing w:before="60" w:after="60"/>
              <w:ind w:left="57" w:right="57"/>
              <w:rPr>
                <w:rFonts w:asciiTheme="minorHAnsi" w:hAnsiTheme="minorHAnsi"/>
              </w:rPr>
            </w:pPr>
            <w:r>
              <w:rPr>
                <w:rFonts w:asciiTheme="minorHAnsi" w:hAnsiTheme="minorHAnsi"/>
                <w:color w:val="000000"/>
                <w:sz w:val="20"/>
              </w:rPr>
              <w:t>Note descriptive</w:t>
            </w:r>
            <w:r w:rsidRPr="004D26E1">
              <w:rPr>
                <w:rFonts w:asciiTheme="minorHAnsi" w:hAnsiTheme="minorHAnsi" w:cs="Tahoma"/>
                <w:sz w:val="20"/>
                <w:szCs w:val="20"/>
              </w:rPr>
              <w:t xml:space="preserve"> précisant</w:t>
            </w:r>
            <w:r>
              <w:rPr>
                <w:rFonts w:asciiTheme="minorHAnsi" w:hAnsiTheme="minorHAnsi" w:cs="Tahoma"/>
                <w:sz w:val="20"/>
                <w:szCs w:val="20"/>
              </w:rPr>
              <w:t> :</w:t>
            </w:r>
          </w:p>
          <w:p w:rsidR="00185A4E" w:rsidRDefault="00185A4E" w:rsidP="00185A4E">
            <w:pPr>
              <w:keepNext w:val="0"/>
              <w:numPr>
                <w:ilvl w:val="0"/>
                <w:numId w:val="3"/>
              </w:numPr>
              <w:shd w:val="clear" w:color="auto" w:fill="auto"/>
              <w:tabs>
                <w:tab w:val="left" w:pos="-1945"/>
              </w:tabs>
              <w:autoSpaceDE w:val="0"/>
              <w:snapToGrid w:val="0"/>
              <w:spacing w:before="60" w:after="60"/>
              <w:ind w:left="170" w:right="57" w:hanging="113"/>
              <w:rPr>
                <w:rFonts w:asciiTheme="minorHAnsi" w:hAnsiTheme="minorHAnsi"/>
              </w:rPr>
            </w:pPr>
            <w:r>
              <w:rPr>
                <w:rFonts w:asciiTheme="minorHAnsi" w:hAnsiTheme="minorHAnsi" w:cs="Tahoma"/>
                <w:sz w:val="20"/>
                <w:szCs w:val="20"/>
              </w:rPr>
              <w:t>L</w:t>
            </w:r>
            <w:r w:rsidRPr="004D26E1">
              <w:rPr>
                <w:rFonts w:asciiTheme="minorHAnsi" w:hAnsiTheme="minorHAnsi" w:cs="Tahoma"/>
                <w:sz w:val="20"/>
                <w:szCs w:val="20"/>
              </w:rPr>
              <w:t>’impact des matériaux mis en œuvre sur la qualité de l’air</w:t>
            </w:r>
            <w:r>
              <w:rPr>
                <w:rFonts w:asciiTheme="minorHAnsi" w:hAnsiTheme="minorHAnsi" w:cs="Tahoma"/>
                <w:sz w:val="20"/>
                <w:szCs w:val="20"/>
              </w:rPr>
              <w:t> &gt; p</w:t>
            </w:r>
            <w:r>
              <w:rPr>
                <w:rFonts w:asciiTheme="minorHAnsi" w:hAnsiTheme="minorHAnsi"/>
                <w:color w:val="000000"/>
                <w:sz w:val="20"/>
              </w:rPr>
              <w:t>rivilégier</w:t>
            </w:r>
            <w:r w:rsidRPr="004D26E1">
              <w:rPr>
                <w:rFonts w:asciiTheme="minorHAnsi" w:hAnsiTheme="minorHAnsi"/>
                <w:color w:val="000000"/>
                <w:sz w:val="20"/>
              </w:rPr>
              <w:t xml:space="preserve"> les matériaux à faible impact notamment en termes de relargage de COV, et particulièrement pour les revêtements de sols, de parois et les peintures</w:t>
            </w:r>
            <w:r>
              <w:rPr>
                <w:rFonts w:asciiTheme="minorHAnsi" w:hAnsiTheme="minorHAnsi"/>
                <w:color w:val="000000"/>
                <w:sz w:val="20"/>
              </w:rPr>
              <w:t xml:space="preserve"> </w:t>
            </w:r>
            <w:r>
              <w:rPr>
                <w:rFonts w:asciiTheme="minorHAnsi" w:hAnsiTheme="minorHAnsi" w:cstheme="minorHAnsi"/>
                <w:sz w:val="20"/>
                <w:szCs w:val="20"/>
              </w:rPr>
              <w:t>(étiquette A+)</w:t>
            </w:r>
          </w:p>
          <w:p w:rsidR="00185A4E" w:rsidRPr="00E934BA" w:rsidRDefault="00185A4E" w:rsidP="00185A4E">
            <w:pPr>
              <w:keepNext w:val="0"/>
              <w:numPr>
                <w:ilvl w:val="0"/>
                <w:numId w:val="3"/>
              </w:numPr>
              <w:shd w:val="clear" w:color="auto" w:fill="auto"/>
              <w:tabs>
                <w:tab w:val="left" w:pos="-1945"/>
              </w:tabs>
              <w:autoSpaceDE w:val="0"/>
              <w:snapToGrid w:val="0"/>
              <w:spacing w:before="60" w:after="60"/>
              <w:ind w:left="170" w:right="57" w:hanging="113"/>
              <w:rPr>
                <w:rFonts w:asciiTheme="minorHAnsi" w:hAnsiTheme="minorHAnsi"/>
              </w:rPr>
            </w:pPr>
            <w:r>
              <w:rPr>
                <w:rFonts w:asciiTheme="minorHAnsi" w:hAnsiTheme="minorHAnsi" w:cs="Tahoma"/>
                <w:sz w:val="20"/>
                <w:szCs w:val="20"/>
              </w:rPr>
              <w:t xml:space="preserve">L’attention </w:t>
            </w:r>
            <w:r w:rsidRPr="00E934BA">
              <w:rPr>
                <w:rFonts w:asciiTheme="minorHAnsi" w:hAnsiTheme="minorHAnsi"/>
                <w:color w:val="000000"/>
                <w:sz w:val="20"/>
              </w:rPr>
              <w:t>portée sur le</w:t>
            </w:r>
            <w:r>
              <w:rPr>
                <w:rFonts w:asciiTheme="minorHAnsi" w:hAnsiTheme="minorHAnsi"/>
                <w:color w:val="000000"/>
                <w:sz w:val="20"/>
              </w:rPr>
              <w:t>s produits d’entretien utilisés</w:t>
            </w:r>
          </w:p>
          <w:p w:rsidR="00185A4E" w:rsidRPr="00783CD0" w:rsidRDefault="00185A4E" w:rsidP="00185A4E">
            <w:pPr>
              <w:keepNext w:val="0"/>
              <w:numPr>
                <w:ilvl w:val="0"/>
                <w:numId w:val="3"/>
              </w:numPr>
              <w:shd w:val="clear" w:color="auto" w:fill="auto"/>
              <w:tabs>
                <w:tab w:val="left" w:pos="-1945"/>
              </w:tabs>
              <w:autoSpaceDE w:val="0"/>
              <w:snapToGrid w:val="0"/>
              <w:spacing w:before="60" w:after="60"/>
              <w:ind w:left="170" w:right="57" w:hanging="113"/>
              <w:rPr>
                <w:rFonts w:asciiTheme="minorHAnsi" w:hAnsiTheme="minorHAnsi"/>
              </w:rPr>
            </w:pPr>
            <w:r>
              <w:rPr>
                <w:rFonts w:asciiTheme="minorHAnsi" w:hAnsiTheme="minorHAnsi" w:cs="Tahoma"/>
                <w:sz w:val="20"/>
                <w:szCs w:val="20"/>
              </w:rPr>
              <w:t>Les solutions mis en œuvre pour favoriser la lumière naturelle</w:t>
            </w:r>
          </w:p>
          <w:p w:rsidR="00185A4E" w:rsidRPr="00E934BA" w:rsidRDefault="00185A4E" w:rsidP="00185A4E">
            <w:pPr>
              <w:keepNext w:val="0"/>
              <w:numPr>
                <w:ilvl w:val="0"/>
                <w:numId w:val="3"/>
              </w:numPr>
              <w:tabs>
                <w:tab w:val="left" w:pos="-1945"/>
              </w:tabs>
              <w:autoSpaceDE w:val="0"/>
              <w:snapToGrid w:val="0"/>
              <w:spacing w:before="60" w:after="60"/>
              <w:ind w:left="170" w:right="57" w:hanging="113"/>
              <w:rPr>
                <w:rFonts w:asciiTheme="minorHAnsi" w:hAnsiTheme="minorHAnsi"/>
              </w:rPr>
            </w:pPr>
            <w:r>
              <w:rPr>
                <w:rFonts w:asciiTheme="minorHAnsi" w:hAnsiTheme="minorHAnsi" w:cs="Tahoma"/>
                <w:sz w:val="20"/>
                <w:szCs w:val="20"/>
              </w:rPr>
              <w:t>Les solutions mises en œuvre pour absorber le bruit</w:t>
            </w:r>
          </w:p>
        </w:tc>
      </w:tr>
      <w:tr w:rsidR="00185A4E" w:rsidRPr="004D26E1" w:rsidTr="002F71EA">
        <w:trPr>
          <w:trHeight w:val="556"/>
        </w:trPr>
        <w:tc>
          <w:tcPr>
            <w:tcW w:w="2573" w:type="dxa"/>
            <w:tcBorders>
              <w:left w:val="single" w:sz="2" w:space="0" w:color="000000"/>
            </w:tcBorders>
            <w:shd w:val="clear" w:color="auto" w:fill="auto"/>
            <w:tcMar>
              <w:left w:w="-2" w:type="dxa"/>
            </w:tcMar>
            <w:vAlign w:val="center"/>
          </w:tcPr>
          <w:p w:rsidR="00185A4E" w:rsidRPr="004D26E1" w:rsidRDefault="00185A4E" w:rsidP="002F71EA">
            <w:pPr>
              <w:keepNext w:val="0"/>
              <w:shd w:val="clear" w:color="auto" w:fill="auto"/>
              <w:autoSpaceDE w:val="0"/>
              <w:snapToGrid w:val="0"/>
              <w:spacing w:before="70" w:after="70"/>
              <w:ind w:left="113" w:right="113"/>
              <w:jc w:val="center"/>
              <w:rPr>
                <w:rFonts w:asciiTheme="minorHAnsi" w:hAnsiTheme="minorHAnsi" w:cstheme="minorHAnsi"/>
                <w:b/>
                <w:bCs/>
                <w:sz w:val="20"/>
                <w:szCs w:val="20"/>
              </w:rPr>
            </w:pPr>
            <w:r w:rsidRPr="00034E42">
              <w:rPr>
                <w:rFonts w:asciiTheme="minorHAnsi" w:hAnsiTheme="minorHAnsi" w:cstheme="minorHAnsi"/>
                <w:b/>
                <w:bCs/>
                <w:sz w:val="20"/>
                <w:szCs w:val="20"/>
              </w:rPr>
              <w:t>« Basse technologie »</w:t>
            </w:r>
          </w:p>
        </w:tc>
        <w:tc>
          <w:tcPr>
            <w:tcW w:w="7087" w:type="dxa"/>
            <w:tcBorders>
              <w:left w:val="single" w:sz="2" w:space="0" w:color="000000"/>
              <w:right w:val="single" w:sz="4" w:space="0" w:color="auto"/>
            </w:tcBorders>
            <w:shd w:val="clear" w:color="auto" w:fill="auto"/>
            <w:vAlign w:val="center"/>
          </w:tcPr>
          <w:p w:rsidR="00185A4E" w:rsidRPr="004D26E1" w:rsidRDefault="00185A4E" w:rsidP="002F71EA">
            <w:pPr>
              <w:autoSpaceDE w:val="0"/>
              <w:snapToGrid w:val="0"/>
              <w:spacing w:before="60" w:after="60"/>
              <w:ind w:left="57" w:right="57"/>
              <w:rPr>
                <w:rFonts w:asciiTheme="minorHAnsi" w:hAnsiTheme="minorHAnsi" w:cstheme="minorHAnsi"/>
                <w:sz w:val="20"/>
                <w:szCs w:val="20"/>
              </w:rPr>
            </w:pPr>
            <w:r>
              <w:rPr>
                <w:rFonts w:asciiTheme="minorHAnsi" w:hAnsiTheme="minorHAnsi" w:cstheme="minorHAnsi"/>
                <w:sz w:val="20"/>
                <w:szCs w:val="20"/>
              </w:rPr>
              <w:t xml:space="preserve">Note décrivant les « basses technologies » mises en œuvre </w:t>
            </w:r>
          </w:p>
        </w:tc>
      </w:tr>
      <w:tr w:rsidR="00185A4E" w:rsidTr="002F71EA">
        <w:trPr>
          <w:trHeight w:val="566"/>
        </w:trPr>
        <w:tc>
          <w:tcPr>
            <w:tcW w:w="2573" w:type="dxa"/>
            <w:tcBorders>
              <w:left w:val="single" w:sz="2" w:space="0" w:color="000000"/>
            </w:tcBorders>
            <w:shd w:val="clear" w:color="auto" w:fill="auto"/>
            <w:tcMar>
              <w:left w:w="-2" w:type="dxa"/>
            </w:tcMar>
            <w:vAlign w:val="center"/>
          </w:tcPr>
          <w:p w:rsidR="00185A4E" w:rsidRDefault="00185A4E" w:rsidP="002F71EA">
            <w:pPr>
              <w:keepNext w:val="0"/>
              <w:autoSpaceDE w:val="0"/>
              <w:snapToGrid w:val="0"/>
              <w:spacing w:before="70" w:after="70"/>
              <w:ind w:left="113" w:right="113"/>
              <w:jc w:val="center"/>
              <w:rPr>
                <w:rFonts w:asciiTheme="minorHAnsi" w:hAnsiTheme="minorHAnsi" w:cs="Arial"/>
                <w:b/>
                <w:sz w:val="20"/>
                <w:szCs w:val="20"/>
              </w:rPr>
            </w:pPr>
            <w:r>
              <w:rPr>
                <w:rFonts w:asciiTheme="minorHAnsi" w:hAnsiTheme="minorHAnsi" w:cstheme="minorHAnsi"/>
                <w:b/>
                <w:bCs/>
                <w:sz w:val="20"/>
                <w:szCs w:val="20"/>
              </w:rPr>
              <w:t>Déconstruction / réversibilité</w:t>
            </w:r>
          </w:p>
        </w:tc>
        <w:tc>
          <w:tcPr>
            <w:tcW w:w="7087" w:type="dxa"/>
            <w:tcBorders>
              <w:left w:val="single" w:sz="2" w:space="0" w:color="000000"/>
              <w:right w:val="single" w:sz="4" w:space="0" w:color="auto"/>
            </w:tcBorders>
            <w:shd w:val="clear" w:color="auto" w:fill="auto"/>
            <w:vAlign w:val="center"/>
          </w:tcPr>
          <w:p w:rsidR="00185A4E" w:rsidRDefault="00185A4E" w:rsidP="002F71EA">
            <w:pPr>
              <w:keepLines/>
              <w:autoSpaceDE w:val="0"/>
              <w:snapToGrid w:val="0"/>
              <w:spacing w:before="60" w:after="60"/>
              <w:ind w:left="57" w:right="57"/>
              <w:rPr>
                <w:rFonts w:asciiTheme="minorHAnsi" w:hAnsiTheme="minorHAnsi" w:cstheme="minorHAnsi"/>
                <w:sz w:val="20"/>
                <w:szCs w:val="20"/>
              </w:rPr>
            </w:pPr>
            <w:r>
              <w:rPr>
                <w:rFonts w:asciiTheme="minorHAnsi" w:hAnsiTheme="minorHAnsi" w:cstheme="minorHAnsi"/>
                <w:sz w:val="20"/>
                <w:szCs w:val="20"/>
              </w:rPr>
              <w:t xml:space="preserve">Note décrivant les ouvrages et les modes constructifs mis en œuvre permettant la déconstruction et/ou la réversibilité </w:t>
            </w:r>
          </w:p>
        </w:tc>
      </w:tr>
      <w:tr w:rsidR="00185A4E" w:rsidTr="002F71EA">
        <w:trPr>
          <w:trHeight w:val="566"/>
        </w:trPr>
        <w:tc>
          <w:tcPr>
            <w:tcW w:w="2573" w:type="dxa"/>
            <w:tcBorders>
              <w:left w:val="single" w:sz="2" w:space="0" w:color="000000"/>
            </w:tcBorders>
            <w:shd w:val="clear" w:color="auto" w:fill="auto"/>
            <w:tcMar>
              <w:left w:w="-2" w:type="dxa"/>
            </w:tcMar>
            <w:vAlign w:val="center"/>
          </w:tcPr>
          <w:p w:rsidR="00185A4E" w:rsidRDefault="00185A4E" w:rsidP="002F71EA">
            <w:pPr>
              <w:keepNext w:val="0"/>
              <w:autoSpaceDE w:val="0"/>
              <w:snapToGrid w:val="0"/>
              <w:spacing w:before="70" w:after="70"/>
              <w:ind w:left="113" w:right="113"/>
              <w:jc w:val="center"/>
              <w:rPr>
                <w:rFonts w:asciiTheme="minorHAnsi" w:hAnsiTheme="minorHAnsi" w:cstheme="minorHAnsi"/>
                <w:b/>
                <w:bCs/>
                <w:sz w:val="20"/>
                <w:szCs w:val="20"/>
              </w:rPr>
            </w:pPr>
            <w:r>
              <w:rPr>
                <w:rFonts w:asciiTheme="minorHAnsi" w:hAnsiTheme="minorHAnsi" w:cstheme="minorHAnsi"/>
                <w:b/>
                <w:bCs/>
                <w:sz w:val="20"/>
                <w:szCs w:val="20"/>
              </w:rPr>
              <w:t>Analyse économique</w:t>
            </w:r>
          </w:p>
        </w:tc>
        <w:tc>
          <w:tcPr>
            <w:tcW w:w="7087" w:type="dxa"/>
            <w:tcBorders>
              <w:left w:val="single" w:sz="2" w:space="0" w:color="000000"/>
              <w:right w:val="single" w:sz="4" w:space="0" w:color="auto"/>
            </w:tcBorders>
            <w:shd w:val="clear" w:color="auto" w:fill="auto"/>
            <w:vAlign w:val="center"/>
          </w:tcPr>
          <w:p w:rsidR="00185A4E" w:rsidRDefault="00185A4E" w:rsidP="002F71EA">
            <w:pPr>
              <w:keepNext w:val="0"/>
              <w:autoSpaceDE w:val="0"/>
              <w:snapToGrid w:val="0"/>
              <w:spacing w:before="60" w:after="60"/>
              <w:ind w:left="57" w:right="57"/>
              <w:rPr>
                <w:rFonts w:asciiTheme="minorHAnsi" w:hAnsiTheme="minorHAnsi" w:cstheme="minorHAnsi"/>
                <w:sz w:val="20"/>
                <w:szCs w:val="20"/>
              </w:rPr>
            </w:pPr>
            <w:r>
              <w:rPr>
                <w:rFonts w:asciiTheme="minorHAnsi" w:hAnsiTheme="minorHAnsi" w:cstheme="minorHAnsi"/>
                <w:sz w:val="20"/>
                <w:szCs w:val="20"/>
              </w:rPr>
              <w:t>Onglet « analyse économique » du dossier de candidature renseigné</w:t>
            </w:r>
          </w:p>
        </w:tc>
      </w:tr>
      <w:tr w:rsidR="00185A4E" w:rsidTr="002F71EA">
        <w:trPr>
          <w:trHeight w:val="566"/>
        </w:trPr>
        <w:tc>
          <w:tcPr>
            <w:tcW w:w="2573" w:type="dxa"/>
            <w:tcBorders>
              <w:left w:val="single" w:sz="2" w:space="0" w:color="000000"/>
              <w:bottom w:val="single" w:sz="2" w:space="0" w:color="000000"/>
            </w:tcBorders>
            <w:shd w:val="clear" w:color="auto" w:fill="auto"/>
            <w:tcMar>
              <w:left w:w="-2" w:type="dxa"/>
            </w:tcMar>
            <w:vAlign w:val="center"/>
          </w:tcPr>
          <w:p w:rsidR="00185A4E" w:rsidRDefault="00185A4E" w:rsidP="002F71EA">
            <w:pPr>
              <w:keepNext w:val="0"/>
              <w:autoSpaceDE w:val="0"/>
              <w:snapToGrid w:val="0"/>
              <w:spacing w:before="70" w:after="70"/>
              <w:ind w:left="113" w:right="113"/>
              <w:jc w:val="center"/>
              <w:rPr>
                <w:rFonts w:asciiTheme="minorHAnsi" w:hAnsiTheme="minorHAnsi" w:cstheme="minorHAnsi"/>
                <w:b/>
                <w:bCs/>
                <w:sz w:val="20"/>
                <w:szCs w:val="20"/>
              </w:rPr>
            </w:pPr>
            <w:r>
              <w:rPr>
                <w:rFonts w:asciiTheme="minorHAnsi" w:hAnsiTheme="minorHAnsi" w:cstheme="minorHAnsi"/>
                <w:b/>
                <w:bCs/>
                <w:sz w:val="20"/>
                <w:szCs w:val="20"/>
              </w:rPr>
              <w:t>Besoins administratifs et autres</w:t>
            </w:r>
          </w:p>
        </w:tc>
        <w:tc>
          <w:tcPr>
            <w:tcW w:w="7087" w:type="dxa"/>
            <w:tcBorders>
              <w:left w:val="single" w:sz="2" w:space="0" w:color="000000"/>
              <w:bottom w:val="single" w:sz="2" w:space="0" w:color="000000"/>
              <w:right w:val="single" w:sz="4" w:space="0" w:color="auto"/>
            </w:tcBorders>
            <w:shd w:val="clear" w:color="auto" w:fill="auto"/>
            <w:vAlign w:val="center"/>
          </w:tcPr>
          <w:p w:rsidR="00185A4E" w:rsidRPr="00435027" w:rsidRDefault="00185A4E" w:rsidP="00185A4E">
            <w:pPr>
              <w:pStyle w:val="Puces"/>
              <w:keepNext w:val="0"/>
              <w:numPr>
                <w:ilvl w:val="2"/>
                <w:numId w:val="5"/>
              </w:numPr>
              <w:shd w:val="clear" w:color="auto" w:fill="auto"/>
              <w:spacing w:before="60" w:after="60"/>
              <w:ind w:left="170" w:right="57" w:hanging="113"/>
              <w:rPr>
                <w:rFonts w:asciiTheme="minorHAnsi" w:hAnsiTheme="minorHAnsi"/>
                <w:sz w:val="20"/>
                <w:szCs w:val="20"/>
              </w:rPr>
            </w:pPr>
            <w:r w:rsidRPr="00435027">
              <w:rPr>
                <w:rFonts w:asciiTheme="minorHAnsi" w:hAnsiTheme="minorHAnsi"/>
                <w:iCs/>
                <w:sz w:val="20"/>
                <w:szCs w:val="20"/>
              </w:rPr>
              <w:t>Un courrier faisant acte de candidature, permettant de valider une date de démarrage</w:t>
            </w:r>
          </w:p>
          <w:p w:rsidR="00185A4E" w:rsidRPr="00FA7CCD" w:rsidRDefault="00185A4E" w:rsidP="00185A4E">
            <w:pPr>
              <w:pStyle w:val="Puces"/>
              <w:keepNext w:val="0"/>
              <w:numPr>
                <w:ilvl w:val="0"/>
                <w:numId w:val="5"/>
              </w:numPr>
              <w:shd w:val="clear" w:color="auto" w:fill="auto"/>
              <w:spacing w:before="60" w:after="60"/>
              <w:ind w:left="170" w:right="57" w:hanging="113"/>
              <w:rPr>
                <w:rFonts w:asciiTheme="minorHAnsi" w:hAnsiTheme="minorHAnsi"/>
                <w:b/>
                <w:iCs/>
                <w:sz w:val="20"/>
                <w:szCs w:val="20"/>
              </w:rPr>
            </w:pPr>
            <w:r w:rsidRPr="00435027">
              <w:rPr>
                <w:rFonts w:asciiTheme="minorHAnsi" w:hAnsiTheme="minorHAnsi"/>
                <w:iCs/>
                <w:sz w:val="20"/>
                <w:szCs w:val="20"/>
              </w:rPr>
              <w:t>Le dossier de candidature renseigné</w:t>
            </w:r>
            <w:r>
              <w:rPr>
                <w:rFonts w:asciiTheme="minorHAnsi" w:hAnsiTheme="minorHAnsi"/>
                <w:b/>
                <w:iCs/>
                <w:sz w:val="20"/>
                <w:szCs w:val="20"/>
              </w:rPr>
              <w:t xml:space="preserve"> </w:t>
            </w:r>
            <w:r w:rsidRPr="00A965FC">
              <w:rPr>
                <w:rFonts w:asciiTheme="minorHAnsi" w:hAnsiTheme="minorHAnsi"/>
                <w:iCs/>
                <w:sz w:val="20"/>
                <w:szCs w:val="20"/>
              </w:rPr>
              <w:t xml:space="preserve">(fichier </w:t>
            </w:r>
            <w:proofErr w:type="spellStart"/>
            <w:r w:rsidRPr="00A965FC">
              <w:rPr>
                <w:rFonts w:asciiTheme="minorHAnsi" w:hAnsiTheme="minorHAnsi"/>
                <w:iCs/>
                <w:sz w:val="20"/>
                <w:szCs w:val="20"/>
              </w:rPr>
              <w:t>excel</w:t>
            </w:r>
            <w:proofErr w:type="spellEnd"/>
            <w:r w:rsidRPr="00A965FC">
              <w:rPr>
                <w:rFonts w:asciiTheme="minorHAnsi" w:hAnsiTheme="minorHAnsi"/>
                <w:iCs/>
                <w:sz w:val="20"/>
                <w:szCs w:val="20"/>
              </w:rPr>
              <w:t xml:space="preserve"> comportant 6 onglets)</w:t>
            </w:r>
          </w:p>
          <w:p w:rsidR="00185A4E" w:rsidRPr="00FA7CCD" w:rsidRDefault="00185A4E" w:rsidP="00185A4E">
            <w:pPr>
              <w:pStyle w:val="Puces"/>
              <w:keepNext w:val="0"/>
              <w:numPr>
                <w:ilvl w:val="0"/>
                <w:numId w:val="5"/>
              </w:numPr>
              <w:shd w:val="clear" w:color="auto" w:fill="auto"/>
              <w:tabs>
                <w:tab w:val="left" w:pos="-22"/>
              </w:tabs>
              <w:spacing w:before="60" w:after="60"/>
              <w:ind w:left="170" w:right="57" w:hanging="113"/>
              <w:rPr>
                <w:rFonts w:asciiTheme="minorHAnsi" w:hAnsiTheme="minorHAnsi"/>
                <w:sz w:val="20"/>
                <w:szCs w:val="20"/>
              </w:rPr>
            </w:pPr>
            <w:r w:rsidRPr="00783CD0">
              <w:rPr>
                <w:rFonts w:asciiTheme="minorHAnsi" w:hAnsiTheme="minorHAnsi"/>
                <w:sz w:val="20"/>
                <w:szCs w:val="20"/>
              </w:rPr>
              <w:t xml:space="preserve">Copies des </w:t>
            </w:r>
            <w:r w:rsidRPr="00FA7CCD">
              <w:rPr>
                <w:rFonts w:asciiTheme="minorHAnsi" w:hAnsiTheme="minorHAnsi"/>
                <w:iCs/>
                <w:sz w:val="20"/>
                <w:szCs w:val="20"/>
              </w:rPr>
              <w:t>décisions d’aides publiques déjà obtenues pour le projet (délibération de collectivités locales</w:t>
            </w:r>
            <w:r w:rsidRPr="00783CD0">
              <w:rPr>
                <w:rFonts w:asciiTheme="minorHAnsi" w:hAnsiTheme="minorHAnsi"/>
                <w:sz w:val="20"/>
                <w:szCs w:val="20"/>
              </w:rPr>
              <w:t>,</w:t>
            </w:r>
            <w:r>
              <w:rPr>
                <w:rFonts w:asciiTheme="minorHAnsi" w:hAnsiTheme="minorHAnsi"/>
                <w:sz w:val="20"/>
                <w:szCs w:val="20"/>
              </w:rPr>
              <w:t xml:space="preserve"> …</w:t>
            </w:r>
            <w:r w:rsidRPr="00783CD0">
              <w:rPr>
                <w:rFonts w:asciiTheme="minorHAnsi" w:hAnsiTheme="minorHAnsi"/>
                <w:sz w:val="20"/>
                <w:szCs w:val="20"/>
              </w:rPr>
              <w:t>)</w:t>
            </w:r>
          </w:p>
          <w:p w:rsidR="00185A4E" w:rsidRPr="00783CD0" w:rsidRDefault="00185A4E" w:rsidP="00185A4E">
            <w:pPr>
              <w:pStyle w:val="Puces"/>
              <w:keepNext w:val="0"/>
              <w:numPr>
                <w:ilvl w:val="0"/>
                <w:numId w:val="5"/>
              </w:numPr>
              <w:shd w:val="clear" w:color="auto" w:fill="auto"/>
              <w:spacing w:before="60" w:after="60"/>
              <w:ind w:left="170" w:right="57" w:hanging="113"/>
              <w:rPr>
                <w:rFonts w:asciiTheme="minorHAnsi" w:hAnsiTheme="minorHAnsi"/>
                <w:sz w:val="20"/>
                <w:szCs w:val="20"/>
              </w:rPr>
            </w:pPr>
            <w:r w:rsidRPr="00783CD0">
              <w:rPr>
                <w:rFonts w:asciiTheme="minorHAnsi" w:hAnsiTheme="minorHAnsi"/>
                <w:sz w:val="20"/>
                <w:szCs w:val="20"/>
              </w:rPr>
              <w:t xml:space="preserve">Le plan de financement prévisionnel </w:t>
            </w:r>
          </w:p>
          <w:p w:rsidR="00185A4E" w:rsidRPr="00783CD0" w:rsidRDefault="00185A4E" w:rsidP="00185A4E">
            <w:pPr>
              <w:pStyle w:val="Puces"/>
              <w:keepNext w:val="0"/>
              <w:numPr>
                <w:ilvl w:val="0"/>
                <w:numId w:val="5"/>
              </w:numPr>
              <w:shd w:val="clear" w:color="auto" w:fill="auto"/>
              <w:spacing w:before="60" w:after="60"/>
              <w:ind w:left="170" w:right="57" w:hanging="113"/>
              <w:rPr>
                <w:rFonts w:asciiTheme="minorHAnsi" w:hAnsiTheme="minorHAnsi"/>
                <w:sz w:val="20"/>
                <w:szCs w:val="20"/>
              </w:rPr>
            </w:pPr>
            <w:r w:rsidRPr="00783CD0">
              <w:rPr>
                <w:rFonts w:asciiTheme="minorHAnsi" w:hAnsiTheme="minorHAnsi"/>
                <w:sz w:val="20"/>
                <w:szCs w:val="20"/>
              </w:rPr>
              <w:t xml:space="preserve">Le calendrier prévisionnel </w:t>
            </w:r>
            <w:r>
              <w:rPr>
                <w:rFonts w:asciiTheme="minorHAnsi" w:hAnsiTheme="minorHAnsi"/>
                <w:sz w:val="20"/>
                <w:szCs w:val="20"/>
              </w:rPr>
              <w:t>de l’opération</w:t>
            </w:r>
          </w:p>
          <w:p w:rsidR="00185A4E" w:rsidRDefault="00185A4E" w:rsidP="00185A4E">
            <w:pPr>
              <w:pStyle w:val="Puces"/>
              <w:keepNext w:val="0"/>
              <w:numPr>
                <w:ilvl w:val="0"/>
                <w:numId w:val="6"/>
              </w:numPr>
              <w:shd w:val="clear" w:color="auto" w:fill="auto"/>
              <w:spacing w:before="60" w:after="60"/>
              <w:ind w:left="170" w:right="57" w:hanging="113"/>
              <w:rPr>
                <w:rFonts w:asciiTheme="minorHAnsi" w:hAnsiTheme="minorHAnsi"/>
                <w:sz w:val="20"/>
                <w:szCs w:val="20"/>
              </w:rPr>
            </w:pPr>
            <w:r>
              <w:rPr>
                <w:rFonts w:asciiTheme="minorHAnsi" w:hAnsiTheme="minorHAnsi"/>
                <w:sz w:val="20"/>
                <w:szCs w:val="20"/>
              </w:rPr>
              <w:t>Un r</w:t>
            </w:r>
            <w:r w:rsidRPr="004D26E1">
              <w:rPr>
                <w:rFonts w:asciiTheme="minorHAnsi" w:hAnsiTheme="minorHAnsi"/>
                <w:sz w:val="20"/>
                <w:szCs w:val="20"/>
              </w:rPr>
              <w:t>elevé d’identité bancaire au format IBAN</w:t>
            </w:r>
          </w:p>
          <w:p w:rsidR="00185A4E" w:rsidRDefault="00185A4E" w:rsidP="00185A4E">
            <w:pPr>
              <w:pStyle w:val="Puces"/>
              <w:keepNext w:val="0"/>
              <w:numPr>
                <w:ilvl w:val="0"/>
                <w:numId w:val="6"/>
              </w:numPr>
              <w:shd w:val="clear" w:color="auto" w:fill="auto"/>
              <w:spacing w:before="60" w:after="60"/>
              <w:ind w:left="170" w:right="57" w:hanging="113"/>
              <w:rPr>
                <w:rFonts w:asciiTheme="minorHAnsi" w:hAnsiTheme="minorHAnsi"/>
                <w:sz w:val="20"/>
                <w:szCs w:val="20"/>
              </w:rPr>
            </w:pPr>
            <w:r>
              <w:rPr>
                <w:rFonts w:asciiTheme="minorHAnsi" w:hAnsiTheme="minorHAnsi"/>
                <w:sz w:val="20"/>
                <w:szCs w:val="20"/>
              </w:rPr>
              <w:t xml:space="preserve">Une note descriptive générale : </w:t>
            </w:r>
          </w:p>
          <w:p w:rsidR="00185A4E" w:rsidRPr="006522C3" w:rsidRDefault="00185A4E" w:rsidP="00185A4E">
            <w:pPr>
              <w:pStyle w:val="Puces"/>
              <w:keepNext w:val="0"/>
              <w:numPr>
                <w:ilvl w:val="1"/>
                <w:numId w:val="2"/>
              </w:numPr>
              <w:shd w:val="clear" w:color="auto" w:fill="auto"/>
              <w:spacing w:before="60" w:after="60"/>
              <w:ind w:left="340" w:right="57" w:hanging="170"/>
              <w:rPr>
                <w:rFonts w:asciiTheme="minorHAnsi" w:hAnsiTheme="minorHAnsi"/>
                <w:sz w:val="20"/>
                <w:szCs w:val="20"/>
              </w:rPr>
            </w:pPr>
            <w:r>
              <w:rPr>
                <w:rFonts w:asciiTheme="minorHAnsi" w:hAnsiTheme="minorHAnsi" w:cs="Arial"/>
                <w:sz w:val="20"/>
                <w:szCs w:val="20"/>
              </w:rPr>
              <w:t>P</w:t>
            </w:r>
            <w:r w:rsidRPr="004D26E1">
              <w:rPr>
                <w:rFonts w:asciiTheme="minorHAnsi" w:hAnsiTheme="minorHAnsi" w:cs="Arial"/>
                <w:sz w:val="20"/>
                <w:szCs w:val="20"/>
              </w:rPr>
              <w:t xml:space="preserve">olitique </w:t>
            </w:r>
            <w:r>
              <w:rPr>
                <w:rFonts w:asciiTheme="minorHAnsi" w:hAnsiTheme="minorHAnsi" w:cs="Arial"/>
                <w:sz w:val="20"/>
                <w:szCs w:val="20"/>
              </w:rPr>
              <w:t>du maître d’ouvrage</w:t>
            </w:r>
            <w:r w:rsidRPr="004D26E1">
              <w:rPr>
                <w:rFonts w:asciiTheme="minorHAnsi" w:hAnsiTheme="minorHAnsi" w:cs="Arial"/>
                <w:sz w:val="20"/>
                <w:szCs w:val="20"/>
              </w:rPr>
              <w:t xml:space="preserve"> en matière de développement durable</w:t>
            </w:r>
            <w:r>
              <w:rPr>
                <w:rFonts w:asciiTheme="minorHAnsi" w:hAnsiTheme="minorHAnsi" w:cs="Arial"/>
                <w:sz w:val="20"/>
                <w:szCs w:val="20"/>
              </w:rPr>
              <w:t> ;</w:t>
            </w:r>
          </w:p>
          <w:p w:rsidR="00185A4E" w:rsidRDefault="00185A4E" w:rsidP="00185A4E">
            <w:pPr>
              <w:pStyle w:val="Puces"/>
              <w:keepNext w:val="0"/>
              <w:numPr>
                <w:ilvl w:val="1"/>
                <w:numId w:val="2"/>
              </w:numPr>
              <w:shd w:val="clear" w:color="auto" w:fill="auto"/>
              <w:spacing w:before="60" w:after="60"/>
              <w:ind w:left="340" w:right="57" w:hanging="170"/>
              <w:rPr>
                <w:rFonts w:asciiTheme="minorHAnsi" w:hAnsiTheme="minorHAnsi"/>
                <w:sz w:val="20"/>
                <w:szCs w:val="20"/>
              </w:rPr>
            </w:pPr>
            <w:r>
              <w:rPr>
                <w:rFonts w:asciiTheme="minorHAnsi" w:hAnsiTheme="minorHAnsi"/>
                <w:sz w:val="20"/>
                <w:szCs w:val="20"/>
              </w:rPr>
              <w:t xml:space="preserve">Contexte et </w:t>
            </w:r>
            <w:r w:rsidRPr="004D26E1">
              <w:rPr>
                <w:rFonts w:asciiTheme="minorHAnsi" w:hAnsiTheme="minorHAnsi" w:cs="Arial"/>
                <w:sz w:val="20"/>
                <w:szCs w:val="20"/>
              </w:rPr>
              <w:t>environnement général du projet (aménagement, urbanisme, volet social, environnemental et économique), état des lieux et évolutions futures du site</w:t>
            </w:r>
            <w:r>
              <w:rPr>
                <w:rFonts w:asciiTheme="minorHAnsi" w:hAnsiTheme="minorHAnsi"/>
                <w:sz w:val="20"/>
                <w:szCs w:val="20"/>
              </w:rPr>
              <w:t> ;</w:t>
            </w:r>
          </w:p>
          <w:p w:rsidR="00185A4E" w:rsidRPr="002C622B" w:rsidRDefault="00185A4E" w:rsidP="00185A4E">
            <w:pPr>
              <w:pStyle w:val="Puces"/>
              <w:keepNext w:val="0"/>
              <w:numPr>
                <w:ilvl w:val="1"/>
                <w:numId w:val="2"/>
              </w:numPr>
              <w:shd w:val="clear" w:color="auto" w:fill="auto"/>
              <w:spacing w:before="60" w:after="60"/>
              <w:ind w:left="340" w:right="57" w:hanging="170"/>
              <w:rPr>
                <w:rFonts w:asciiTheme="minorHAnsi" w:hAnsiTheme="minorHAnsi"/>
                <w:sz w:val="20"/>
                <w:szCs w:val="20"/>
              </w:rPr>
            </w:pPr>
            <w:r>
              <w:rPr>
                <w:rFonts w:asciiTheme="minorHAnsi" w:hAnsiTheme="minorHAnsi" w:cs="Arial"/>
                <w:sz w:val="20"/>
                <w:szCs w:val="20"/>
              </w:rPr>
              <w:t>M</w:t>
            </w:r>
            <w:r w:rsidRPr="004D26E1">
              <w:rPr>
                <w:rFonts w:asciiTheme="minorHAnsi" w:hAnsiTheme="minorHAnsi" w:cs="Arial"/>
                <w:sz w:val="20"/>
                <w:szCs w:val="20"/>
              </w:rPr>
              <w:t>oyens retenus pour l'organisation du pilotage de l'opération, la mobilisation de tous les acteurs du projet (usagers, entreprises de travaux, de maintenance…) afin d’atteindre les niveaux d’exigences de l’appel à projets, et pour contribuer à leur montée en compétence</w:t>
            </w:r>
            <w:r>
              <w:rPr>
                <w:rFonts w:asciiTheme="minorHAnsi" w:hAnsiTheme="minorHAnsi" w:cs="Arial"/>
                <w:sz w:val="20"/>
                <w:szCs w:val="20"/>
              </w:rPr>
              <w:t> ;</w:t>
            </w:r>
          </w:p>
          <w:p w:rsidR="00185A4E" w:rsidRPr="00FC279D" w:rsidRDefault="00185A4E" w:rsidP="00185A4E">
            <w:pPr>
              <w:pStyle w:val="Puces"/>
              <w:keepNext w:val="0"/>
              <w:numPr>
                <w:ilvl w:val="1"/>
                <w:numId w:val="2"/>
              </w:numPr>
              <w:shd w:val="clear" w:color="auto" w:fill="auto"/>
              <w:spacing w:before="60" w:after="60"/>
              <w:ind w:left="340" w:right="57" w:hanging="170"/>
              <w:rPr>
                <w:rFonts w:asciiTheme="minorHAnsi" w:hAnsiTheme="minorHAnsi"/>
                <w:sz w:val="20"/>
                <w:szCs w:val="20"/>
              </w:rPr>
            </w:pPr>
            <w:r>
              <w:rPr>
                <w:rFonts w:asciiTheme="minorHAnsi" w:hAnsiTheme="minorHAnsi" w:cs="Arial"/>
                <w:sz w:val="20"/>
                <w:szCs w:val="20"/>
              </w:rPr>
              <w:t>Pourront s’y ajouter les éléments descriptifs demandés dans les pièces à fournir.</w:t>
            </w:r>
          </w:p>
          <w:p w:rsidR="00185A4E" w:rsidRPr="006522C3" w:rsidRDefault="00185A4E" w:rsidP="00185A4E">
            <w:pPr>
              <w:pStyle w:val="Puces"/>
              <w:keepNext w:val="0"/>
              <w:numPr>
                <w:ilvl w:val="0"/>
                <w:numId w:val="2"/>
              </w:numPr>
              <w:shd w:val="clear" w:color="auto" w:fill="auto"/>
              <w:spacing w:before="60" w:after="60"/>
              <w:ind w:left="170" w:right="57" w:hanging="113"/>
              <w:rPr>
                <w:rFonts w:asciiTheme="minorHAnsi" w:hAnsiTheme="minorHAnsi"/>
                <w:sz w:val="20"/>
                <w:szCs w:val="20"/>
              </w:rPr>
            </w:pPr>
            <w:r w:rsidRPr="006522C3">
              <w:rPr>
                <w:rFonts w:asciiTheme="minorHAnsi" w:hAnsiTheme="minorHAnsi"/>
                <w:sz w:val="20"/>
                <w:szCs w:val="20"/>
              </w:rPr>
              <w:t>Pièces relatives au dossier de rénovation / construction</w:t>
            </w:r>
            <w:r>
              <w:rPr>
                <w:rFonts w:asciiTheme="minorHAnsi" w:hAnsiTheme="minorHAnsi"/>
                <w:sz w:val="20"/>
                <w:szCs w:val="20"/>
              </w:rPr>
              <w:t xml:space="preserve"> :</w:t>
            </w:r>
          </w:p>
          <w:p w:rsidR="00185A4E" w:rsidRPr="002C622B" w:rsidRDefault="00185A4E" w:rsidP="00185A4E">
            <w:pPr>
              <w:pStyle w:val="Puces"/>
              <w:keepNext w:val="0"/>
              <w:numPr>
                <w:ilvl w:val="1"/>
                <w:numId w:val="2"/>
              </w:numPr>
              <w:shd w:val="clear" w:color="auto" w:fill="auto"/>
              <w:spacing w:before="60" w:after="60"/>
              <w:ind w:left="340" w:right="57" w:hanging="170"/>
              <w:rPr>
                <w:rFonts w:asciiTheme="minorHAnsi" w:hAnsiTheme="minorHAnsi" w:cs="Arial"/>
                <w:sz w:val="20"/>
                <w:szCs w:val="20"/>
              </w:rPr>
            </w:pPr>
            <w:r w:rsidRPr="004D26E1">
              <w:rPr>
                <w:rFonts w:asciiTheme="minorHAnsi" w:hAnsiTheme="minorHAnsi" w:cs="Arial"/>
                <w:sz w:val="20"/>
                <w:szCs w:val="20"/>
              </w:rPr>
              <w:lastRenderedPageBreak/>
              <w:t>Plans de situation du projet, plan de masse du projet (avec indication du nord, de</w:t>
            </w:r>
            <w:r>
              <w:rPr>
                <w:rFonts w:asciiTheme="minorHAnsi" w:hAnsiTheme="minorHAnsi" w:cs="Arial"/>
                <w:sz w:val="20"/>
                <w:szCs w:val="20"/>
              </w:rPr>
              <w:t>s voies de desserte</w:t>
            </w:r>
            <w:r w:rsidRPr="006522C3">
              <w:rPr>
                <w:rFonts w:asciiTheme="minorHAnsi" w:hAnsiTheme="minorHAnsi" w:cs="Arial"/>
                <w:sz w:val="20"/>
                <w:szCs w:val="20"/>
              </w:rPr>
              <w:t xml:space="preserve"> </w:t>
            </w:r>
            <w:r w:rsidRPr="004D26E1">
              <w:rPr>
                <w:rFonts w:asciiTheme="minorHAnsi" w:hAnsiTheme="minorHAnsi" w:cs="Arial"/>
                <w:sz w:val="20"/>
                <w:szCs w:val="20"/>
              </w:rPr>
              <w:t>et cheminement, stationnements, aménagements extérieurs…) plans des façades, toitures et coupes, plan des aménagements intérieurs par n</w:t>
            </w:r>
            <w:r>
              <w:rPr>
                <w:rFonts w:asciiTheme="minorHAnsi" w:hAnsiTheme="minorHAnsi" w:cs="Arial"/>
                <w:sz w:val="20"/>
                <w:szCs w:val="20"/>
              </w:rPr>
              <w:t>iveau (avec indication du nord) ;</w:t>
            </w:r>
          </w:p>
          <w:p w:rsidR="00185A4E" w:rsidRPr="004D26E1" w:rsidRDefault="00185A4E" w:rsidP="00185A4E">
            <w:pPr>
              <w:pStyle w:val="Puces"/>
              <w:keepNext w:val="0"/>
              <w:numPr>
                <w:ilvl w:val="1"/>
                <w:numId w:val="2"/>
              </w:numPr>
              <w:shd w:val="clear" w:color="auto" w:fill="auto"/>
              <w:spacing w:before="60" w:after="60"/>
              <w:ind w:left="340" w:right="57" w:hanging="170"/>
              <w:rPr>
                <w:rFonts w:asciiTheme="minorHAnsi" w:hAnsiTheme="minorHAnsi" w:cs="Arial"/>
                <w:sz w:val="20"/>
                <w:szCs w:val="20"/>
              </w:rPr>
            </w:pPr>
            <w:r w:rsidRPr="004D26E1">
              <w:rPr>
                <w:rFonts w:asciiTheme="minorHAnsi" w:hAnsiTheme="minorHAnsi" w:cs="Arial"/>
                <w:sz w:val="20"/>
                <w:szCs w:val="20"/>
              </w:rPr>
              <w:t>Photos du site (actuel), photomontages permettant d’apprécier l’intégration du projet (différents angles)</w:t>
            </w:r>
            <w:r>
              <w:rPr>
                <w:rFonts w:asciiTheme="minorHAnsi" w:hAnsiTheme="minorHAnsi" w:cs="Arial"/>
                <w:sz w:val="20"/>
                <w:szCs w:val="20"/>
              </w:rPr>
              <w:t> ;</w:t>
            </w:r>
          </w:p>
          <w:p w:rsidR="00185A4E" w:rsidRPr="004D26E1" w:rsidRDefault="00185A4E" w:rsidP="00185A4E">
            <w:pPr>
              <w:pStyle w:val="Puces"/>
              <w:keepNext w:val="0"/>
              <w:numPr>
                <w:ilvl w:val="1"/>
                <w:numId w:val="2"/>
              </w:numPr>
              <w:shd w:val="clear" w:color="auto" w:fill="auto"/>
              <w:spacing w:before="60" w:after="60"/>
              <w:ind w:left="340" w:right="57" w:hanging="170"/>
              <w:rPr>
                <w:rFonts w:asciiTheme="minorHAnsi" w:hAnsiTheme="minorHAnsi" w:cs="Arial"/>
                <w:sz w:val="20"/>
                <w:szCs w:val="20"/>
              </w:rPr>
            </w:pPr>
            <w:r w:rsidRPr="004D26E1">
              <w:rPr>
                <w:rFonts w:asciiTheme="minorHAnsi" w:hAnsiTheme="minorHAnsi" w:cs="Arial"/>
                <w:sz w:val="20"/>
                <w:szCs w:val="20"/>
              </w:rPr>
              <w:t>Programme, et dossier technico-économique le plus avancé : APD, ou DCE</w:t>
            </w:r>
            <w:r>
              <w:rPr>
                <w:rFonts w:asciiTheme="minorHAnsi" w:hAnsiTheme="minorHAnsi" w:cs="Arial"/>
                <w:sz w:val="20"/>
                <w:szCs w:val="20"/>
              </w:rPr>
              <w:t> ;</w:t>
            </w:r>
          </w:p>
          <w:p w:rsidR="00185A4E" w:rsidRDefault="00185A4E" w:rsidP="00185A4E">
            <w:pPr>
              <w:pStyle w:val="Puces"/>
              <w:keepNext w:val="0"/>
              <w:numPr>
                <w:ilvl w:val="1"/>
                <w:numId w:val="2"/>
              </w:numPr>
              <w:shd w:val="clear" w:color="auto" w:fill="auto"/>
              <w:spacing w:before="60" w:after="60"/>
              <w:ind w:left="340" w:right="57" w:hanging="170"/>
              <w:rPr>
                <w:rFonts w:asciiTheme="minorHAnsi" w:hAnsiTheme="minorHAnsi" w:cs="Arial"/>
                <w:sz w:val="20"/>
                <w:szCs w:val="20"/>
              </w:rPr>
            </w:pPr>
            <w:r w:rsidRPr="004D26E1">
              <w:rPr>
                <w:rFonts w:asciiTheme="minorHAnsi" w:hAnsiTheme="minorHAnsi" w:cs="Arial"/>
                <w:sz w:val="20"/>
                <w:szCs w:val="20"/>
              </w:rPr>
              <w:t>Plan prévisionnel d’entretien et de maintenance</w:t>
            </w:r>
            <w:r>
              <w:rPr>
                <w:rFonts w:asciiTheme="minorHAnsi" w:hAnsiTheme="minorHAnsi" w:cs="Arial"/>
                <w:sz w:val="20"/>
                <w:szCs w:val="20"/>
              </w:rPr>
              <w:t>.</w:t>
            </w:r>
          </w:p>
          <w:p w:rsidR="00185A4E" w:rsidRDefault="00185A4E" w:rsidP="002F71EA">
            <w:pPr>
              <w:pStyle w:val="Puces"/>
              <w:keepNext w:val="0"/>
              <w:numPr>
                <w:ilvl w:val="0"/>
                <w:numId w:val="0"/>
              </w:numPr>
              <w:shd w:val="clear" w:color="auto" w:fill="auto"/>
              <w:spacing w:before="60" w:after="60"/>
              <w:ind w:left="170" w:right="57"/>
              <w:rPr>
                <w:rFonts w:asciiTheme="minorHAnsi" w:hAnsiTheme="minorHAnsi" w:cs="Arial"/>
                <w:sz w:val="20"/>
                <w:szCs w:val="20"/>
              </w:rPr>
            </w:pPr>
          </w:p>
          <w:p w:rsidR="00185A4E" w:rsidRPr="00435027" w:rsidRDefault="00185A4E" w:rsidP="002F71EA">
            <w:pPr>
              <w:pStyle w:val="Puces"/>
              <w:keepNext w:val="0"/>
              <w:numPr>
                <w:ilvl w:val="0"/>
                <w:numId w:val="0"/>
              </w:numPr>
              <w:shd w:val="clear" w:color="auto" w:fill="auto"/>
              <w:spacing w:before="60" w:after="60"/>
              <w:ind w:left="170" w:right="57"/>
              <w:rPr>
                <w:rFonts w:asciiTheme="minorHAnsi" w:hAnsiTheme="minorHAnsi" w:cs="Arial"/>
                <w:sz w:val="20"/>
                <w:szCs w:val="20"/>
              </w:rPr>
            </w:pPr>
            <w:r>
              <w:rPr>
                <w:rFonts w:asciiTheme="minorHAnsi" w:hAnsiTheme="minorHAnsi"/>
                <w:sz w:val="20"/>
                <w:szCs w:val="20"/>
              </w:rPr>
              <w:t>Des éléments complémentaires pourront être demandés en fonction de la nature du projet et du porteur de projet</w:t>
            </w:r>
          </w:p>
        </w:tc>
      </w:tr>
    </w:tbl>
    <w:p w:rsidR="00185A4E" w:rsidRPr="004D26E1" w:rsidRDefault="00185A4E" w:rsidP="00185A4E">
      <w:pPr>
        <w:keepNext w:val="0"/>
        <w:shd w:val="clear" w:color="auto" w:fill="auto"/>
        <w:rPr>
          <w:rFonts w:asciiTheme="minorHAnsi" w:hAnsiTheme="minorHAnsi"/>
        </w:rPr>
      </w:pPr>
    </w:p>
    <w:p w:rsidR="007E034F" w:rsidRPr="00185A4E" w:rsidRDefault="007E034F" w:rsidP="00185A4E">
      <w:bookmarkStart w:id="0" w:name="_GoBack"/>
      <w:bookmarkEnd w:id="0"/>
    </w:p>
    <w:sectPr w:rsidR="007E034F" w:rsidRPr="00185A4E" w:rsidSect="00185A4E">
      <w:headerReference w:type="default" r:id="rId6"/>
      <w:footerReference w:type="default" r:id="rId7"/>
      <w:pgSz w:w="11906" w:h="16838"/>
      <w:pgMar w:top="737" w:right="1134" w:bottom="720" w:left="1134" w:header="567"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4904"/>
      <w:docPartObj>
        <w:docPartGallery w:val="Page Numbers (Bottom of Page)"/>
        <w:docPartUnique/>
      </w:docPartObj>
    </w:sdtPr>
    <w:sdtEndPr/>
    <w:sdtContent>
      <w:sdt>
        <w:sdtPr>
          <w:id w:val="-1769616900"/>
          <w:docPartObj>
            <w:docPartGallery w:val="Page Numbers (Top of Page)"/>
            <w:docPartUnique/>
          </w:docPartObj>
        </w:sdtPr>
        <w:sdtEndPr/>
        <w:sdtContent>
          <w:p w:rsidR="00D75535" w:rsidRDefault="00185A4E">
            <w:pPr>
              <w:pStyle w:val="Pieddepage"/>
              <w:jc w:val="right"/>
            </w:pPr>
            <w:r w:rsidRPr="009A113F">
              <w:rPr>
                <w:sz w:val="18"/>
                <w:szCs w:val="18"/>
              </w:rPr>
              <w:t xml:space="preserve">Page </w:t>
            </w:r>
            <w:r w:rsidRPr="009A113F">
              <w:rPr>
                <w:b/>
                <w:bCs/>
                <w:sz w:val="18"/>
                <w:szCs w:val="18"/>
              </w:rPr>
              <w:fldChar w:fldCharType="begin"/>
            </w:r>
            <w:r w:rsidRPr="009A113F">
              <w:rPr>
                <w:b/>
                <w:bCs/>
                <w:sz w:val="18"/>
                <w:szCs w:val="18"/>
              </w:rPr>
              <w:instrText>PAGE</w:instrText>
            </w:r>
            <w:r w:rsidRPr="009A113F">
              <w:rPr>
                <w:b/>
                <w:bCs/>
                <w:sz w:val="18"/>
                <w:szCs w:val="18"/>
              </w:rPr>
              <w:fldChar w:fldCharType="separate"/>
            </w:r>
            <w:r>
              <w:rPr>
                <w:b/>
                <w:bCs/>
                <w:noProof/>
                <w:sz w:val="18"/>
                <w:szCs w:val="18"/>
              </w:rPr>
              <w:t>3</w:t>
            </w:r>
            <w:r w:rsidRPr="009A113F">
              <w:rPr>
                <w:b/>
                <w:bCs/>
                <w:sz w:val="18"/>
                <w:szCs w:val="18"/>
              </w:rPr>
              <w:fldChar w:fldCharType="end"/>
            </w:r>
            <w:r w:rsidRPr="009A113F">
              <w:rPr>
                <w:sz w:val="18"/>
                <w:szCs w:val="18"/>
              </w:rPr>
              <w:t xml:space="preserve"> sur </w:t>
            </w:r>
            <w:r w:rsidRPr="009A113F">
              <w:rPr>
                <w:b/>
                <w:bCs/>
                <w:sz w:val="18"/>
                <w:szCs w:val="18"/>
              </w:rPr>
              <w:fldChar w:fldCharType="begin"/>
            </w:r>
            <w:r w:rsidRPr="009A113F">
              <w:rPr>
                <w:b/>
                <w:bCs/>
                <w:sz w:val="18"/>
                <w:szCs w:val="18"/>
              </w:rPr>
              <w:instrText>NUMPAGES</w:instrText>
            </w:r>
            <w:r w:rsidRPr="009A113F">
              <w:rPr>
                <w:b/>
                <w:bCs/>
                <w:sz w:val="18"/>
                <w:szCs w:val="18"/>
              </w:rPr>
              <w:fldChar w:fldCharType="separate"/>
            </w:r>
            <w:r>
              <w:rPr>
                <w:b/>
                <w:bCs/>
                <w:noProof/>
                <w:sz w:val="18"/>
                <w:szCs w:val="18"/>
              </w:rPr>
              <w:t>3</w:t>
            </w:r>
            <w:r w:rsidRPr="009A113F">
              <w:rPr>
                <w:b/>
                <w:bCs/>
                <w:sz w:val="18"/>
                <w:szCs w:val="18"/>
              </w:rPr>
              <w:fldChar w:fldCharType="end"/>
            </w:r>
          </w:p>
        </w:sdtContent>
      </w:sdt>
    </w:sdtContent>
  </w:sdt>
  <w:p w:rsidR="00D75535" w:rsidRDefault="00185A4E">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35" w:rsidRDefault="00185A4E">
    <w:pPr>
      <w:tabs>
        <w:tab w:val="left" w:pos="2268"/>
        <w:tab w:val="left" w:pos="6237"/>
      </w:tabs>
      <w:ind w:left="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277"/>
    <w:multiLevelType w:val="multilevel"/>
    <w:tmpl w:val="3094010A"/>
    <w:lvl w:ilvl="0">
      <w:start w:val="1"/>
      <w:numFmt w:val="bullet"/>
      <w:pStyle w:val="Puces"/>
      <w:lvlText w:val=""/>
      <w:lvlJc w:val="left"/>
      <w:pPr>
        <w:ind w:left="1212" w:hanging="360"/>
      </w:pPr>
      <w:rPr>
        <w:rFonts w:ascii="Symbol" w:hAnsi="Symbol" w:cs="Symbol" w:hint="default"/>
      </w:rPr>
    </w:lvl>
    <w:lvl w:ilvl="1">
      <w:start w:val="1"/>
      <w:numFmt w:val="bullet"/>
      <w:lvlText w:val=""/>
      <w:lvlJc w:val="left"/>
      <w:pPr>
        <w:ind w:left="2856" w:hanging="360"/>
      </w:pPr>
      <w:rPr>
        <w:rFonts w:ascii="Wingdings" w:hAnsi="Wingdings" w:cs="Wingdings"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1" w15:restartNumberingAfterBreak="0">
    <w:nsid w:val="06CF6969"/>
    <w:multiLevelType w:val="multilevel"/>
    <w:tmpl w:val="C15A360A"/>
    <w:lvl w:ilvl="0">
      <w:numFmt w:val="bullet"/>
      <w:lvlText w:val="-"/>
      <w:lvlJc w:val="left"/>
      <w:pPr>
        <w:ind w:left="720" w:hanging="360"/>
      </w:pPr>
      <w:rPr>
        <w:rFonts w:ascii="Calibri" w:eastAsia="SimSun" w:hAnsi="Calibri" w:cs="Calibri"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15:restartNumberingAfterBreak="0">
    <w:nsid w:val="19017FC8"/>
    <w:multiLevelType w:val="hybridMultilevel"/>
    <w:tmpl w:val="B47EF0CC"/>
    <w:lvl w:ilvl="0" w:tplc="8C38DDBA">
      <w:numFmt w:val="bullet"/>
      <w:lvlText w:val="-"/>
      <w:lvlJc w:val="left"/>
      <w:pPr>
        <w:ind w:left="1080" w:hanging="360"/>
      </w:pPr>
      <w:rPr>
        <w:rFonts w:ascii="Trebuchet MS" w:eastAsia="SimSun" w:hAnsi="Trebuchet MS"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15:restartNumberingAfterBreak="0">
    <w:nsid w:val="247A2894"/>
    <w:multiLevelType w:val="multilevel"/>
    <w:tmpl w:val="EAEC10AA"/>
    <w:lvl w:ilvl="0">
      <w:numFmt w:val="bullet"/>
      <w:lvlText w:val="-"/>
      <w:lvlJc w:val="left"/>
      <w:pPr>
        <w:ind w:left="720" w:hanging="360"/>
      </w:pPr>
      <w:rPr>
        <w:rFonts w:ascii="Calibri" w:eastAsia="SimSun" w:hAnsi="Calibri" w:cs="Calibri"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15:restartNumberingAfterBreak="0">
    <w:nsid w:val="26856480"/>
    <w:multiLevelType w:val="hybridMultilevel"/>
    <w:tmpl w:val="7D14F166"/>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 w15:restartNumberingAfterBreak="0">
    <w:nsid w:val="292E748D"/>
    <w:multiLevelType w:val="multilevel"/>
    <w:tmpl w:val="3C062122"/>
    <w:lvl w:ilvl="0">
      <w:numFmt w:val="bullet"/>
      <w:lvlText w:val="-"/>
      <w:lvlJc w:val="left"/>
      <w:pPr>
        <w:ind w:left="720" w:hanging="360"/>
      </w:pPr>
      <w:rPr>
        <w:rFonts w:ascii="Trebuchet MS" w:eastAsia="SimSun" w:hAnsi="Trebuchet MS" w:cs="Aria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15:restartNumberingAfterBreak="0">
    <w:nsid w:val="3FC763C3"/>
    <w:multiLevelType w:val="hybridMultilevel"/>
    <w:tmpl w:val="08C25F1C"/>
    <w:lvl w:ilvl="0" w:tplc="0BF414B6">
      <w:numFmt w:val="bullet"/>
      <w:lvlText w:val="-"/>
      <w:lvlJc w:val="left"/>
      <w:pPr>
        <w:ind w:left="72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BF414B6">
      <w:numFmt w:val="bullet"/>
      <w:lvlText w:val="-"/>
      <w:lvlJc w:val="left"/>
      <w:pPr>
        <w:ind w:left="2160" w:hanging="360"/>
      </w:pPr>
      <w:rPr>
        <w:rFonts w:ascii="Calibri" w:eastAsia="SimSun"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66"/>
    <w:rsid w:val="00185A4E"/>
    <w:rsid w:val="005E3215"/>
    <w:rsid w:val="007E034F"/>
    <w:rsid w:val="00D53866"/>
    <w:rsid w:val="00F43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1C8C"/>
  <w15:chartTrackingRefBased/>
  <w15:docId w15:val="{FD779575-2D32-4F4C-9D31-BBA33E81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866"/>
    <w:pPr>
      <w:keepNext/>
      <w:widowControl w:val="0"/>
      <w:shd w:val="clear" w:color="auto" w:fill="FFFFFF"/>
      <w:suppressAutoHyphens/>
      <w:spacing w:after="0" w:line="240" w:lineRule="auto"/>
      <w:textAlignment w:val="baseline"/>
    </w:pPr>
    <w:rPr>
      <w:rFonts w:ascii="Arial" w:eastAsia="SimSun" w:hAnsi="Arial" w:cs="Mangal"/>
      <w:sz w:val="21"/>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s">
    <w:name w:val="Puces"/>
    <w:basedOn w:val="Normal"/>
    <w:qFormat/>
    <w:rsid w:val="00D53866"/>
    <w:pPr>
      <w:numPr>
        <w:numId w:val="1"/>
      </w:numPr>
      <w:tabs>
        <w:tab w:val="left" w:pos="-3430"/>
      </w:tabs>
    </w:pPr>
  </w:style>
  <w:style w:type="paragraph" w:styleId="Paragraphedeliste">
    <w:name w:val="List Paragraph"/>
    <w:aliases w:val="Lettre d'introduction,Normal bullet 2,Paragraphe de liste2,Liste à puce - SC,Paragraphe de liste num,Paragraphe de liste 1,normal,Listes,Paragraphe de liste11,Normal avec puces tirets,Paragraphe 2"/>
    <w:basedOn w:val="Normal"/>
    <w:link w:val="ParagraphedelisteCar"/>
    <w:uiPriority w:val="34"/>
    <w:qFormat/>
    <w:rsid w:val="00D53866"/>
    <w:pPr>
      <w:ind w:left="720"/>
    </w:pPr>
    <w:rPr>
      <w:rFonts w:ascii="Georgia" w:hAnsi="Georgia"/>
    </w:rPr>
  </w:style>
  <w:style w:type="character" w:styleId="Lienhypertexte">
    <w:name w:val="Hyperlink"/>
    <w:basedOn w:val="Policepardfaut"/>
    <w:uiPriority w:val="99"/>
    <w:unhideWhenUsed/>
    <w:rsid w:val="00D53866"/>
    <w:rPr>
      <w:color w:val="0000FF"/>
      <w:u w:val="single"/>
    </w:rPr>
  </w:style>
  <w:style w:type="character" w:customStyle="1" w:styleId="ParagraphedelisteCar">
    <w:name w:val="Paragraphe de liste Car"/>
    <w:aliases w:val="Lettre d'introduction Car,Normal bullet 2 Car,Paragraphe de liste2 Car,Liste à puce - SC Car,Paragraphe de liste num Car,Paragraphe de liste 1 Car,normal Car,Listes Car,Paragraphe de liste11 Car,Normal avec puces tirets Car"/>
    <w:link w:val="Paragraphedeliste"/>
    <w:uiPriority w:val="34"/>
    <w:qFormat/>
    <w:locked/>
    <w:rsid w:val="00D53866"/>
    <w:rPr>
      <w:rFonts w:ascii="Georgia" w:eastAsia="SimSun" w:hAnsi="Georgia" w:cs="Mangal"/>
      <w:sz w:val="21"/>
      <w:szCs w:val="24"/>
      <w:shd w:val="clear" w:color="auto" w:fill="FFFFFF"/>
      <w:lang w:eastAsia="zh-CN" w:bidi="hi-IN"/>
    </w:rPr>
  </w:style>
  <w:style w:type="paragraph" w:styleId="Pieddepage">
    <w:name w:val="footer"/>
    <w:basedOn w:val="Normal"/>
    <w:link w:val="PieddepageCar"/>
    <w:uiPriority w:val="99"/>
    <w:rsid w:val="00185A4E"/>
    <w:pPr>
      <w:suppressLineNumbers/>
      <w:tabs>
        <w:tab w:val="center" w:pos="4819"/>
        <w:tab w:val="right" w:pos="9638"/>
      </w:tabs>
    </w:pPr>
  </w:style>
  <w:style w:type="character" w:customStyle="1" w:styleId="PieddepageCar">
    <w:name w:val="Pied de page Car"/>
    <w:basedOn w:val="Policepardfaut"/>
    <w:link w:val="Pieddepage"/>
    <w:uiPriority w:val="99"/>
    <w:rsid w:val="00185A4E"/>
    <w:rPr>
      <w:rFonts w:ascii="Arial" w:eastAsia="SimSun" w:hAnsi="Arial" w:cs="Mangal"/>
      <w:sz w:val="21"/>
      <w:szCs w:val="24"/>
      <w:shd w:val="clear" w:color="auto" w:fill="FFFFF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irsn.fr/FR/connaissances/Environnement/expertises-radioactivite-naturelle/radon/Pages/5-cartographie-potentiel-radon-commun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1138</Words>
  <Characters>6262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DUSSUT</dc:creator>
  <cp:keywords/>
  <dc:description/>
  <cp:lastModifiedBy>DAMIEN DUSSUT</cp:lastModifiedBy>
  <cp:revision>4</cp:revision>
  <dcterms:created xsi:type="dcterms:W3CDTF">2022-04-25T15:15:00Z</dcterms:created>
  <dcterms:modified xsi:type="dcterms:W3CDTF">2023-01-30T11:07:00Z</dcterms:modified>
</cp:coreProperties>
</file>