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7B" w:rsidRDefault="00360D85" w:rsidP="00F6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120" w:after="120"/>
        <w:jc w:val="center"/>
        <w:rPr>
          <w:rFonts w:asciiTheme="minorHAnsi" w:hAnsiTheme="minorHAnsi"/>
          <w:b/>
          <w:sz w:val="28"/>
          <w:szCs w:val="20"/>
        </w:rPr>
      </w:pPr>
      <w:r>
        <w:rPr>
          <w:rFonts w:asciiTheme="minorHAnsi" w:hAnsiTheme="minorHAnsi"/>
          <w:b/>
          <w:sz w:val="28"/>
          <w:szCs w:val="20"/>
        </w:rPr>
        <w:t>AAP Bâtiments performants 2024</w:t>
      </w:r>
      <w:bookmarkStart w:id="0" w:name="_GoBack"/>
      <w:bookmarkEnd w:id="0"/>
    </w:p>
    <w:p w:rsidR="00F60031" w:rsidRPr="00BA0C7B" w:rsidRDefault="00F60031" w:rsidP="00F6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120" w:after="120"/>
        <w:jc w:val="center"/>
        <w:rPr>
          <w:rFonts w:asciiTheme="minorHAnsi" w:hAnsiTheme="minorHAnsi"/>
          <w:b/>
          <w:sz w:val="28"/>
          <w:szCs w:val="20"/>
        </w:rPr>
      </w:pPr>
      <w:r>
        <w:rPr>
          <w:rFonts w:asciiTheme="minorHAnsi" w:hAnsiTheme="minorHAnsi"/>
          <w:b/>
          <w:sz w:val="28"/>
          <w:szCs w:val="20"/>
        </w:rPr>
        <w:t>Contexte</w:t>
      </w:r>
    </w:p>
    <w:p w:rsidR="00BA0C7B" w:rsidRDefault="00BA0C7B" w:rsidP="00BA0C7B">
      <w:pPr>
        <w:shd w:val="clear" w:color="auto" w:fill="auto"/>
        <w:jc w:val="both"/>
        <w:rPr>
          <w:rFonts w:asciiTheme="minorHAnsi" w:hAnsiTheme="minorHAnsi"/>
          <w:sz w:val="20"/>
          <w:szCs w:val="20"/>
        </w:rPr>
      </w:pPr>
    </w:p>
    <w:p w:rsidR="00BA0C7B" w:rsidRDefault="00BA0C7B" w:rsidP="00BA0C7B">
      <w:pPr>
        <w:shd w:val="clear" w:color="auto" w:fill="auto"/>
        <w:jc w:val="both"/>
        <w:rPr>
          <w:rFonts w:asciiTheme="minorHAnsi" w:hAnsiTheme="minorHAnsi"/>
          <w:sz w:val="20"/>
          <w:szCs w:val="20"/>
        </w:rPr>
      </w:pPr>
    </w:p>
    <w:p w:rsidR="001C7208" w:rsidRPr="004D26E1" w:rsidRDefault="001C7208" w:rsidP="001C7208">
      <w:pPr>
        <w:shd w:val="clear" w:color="auto" w:fill="auto"/>
        <w:jc w:val="both"/>
        <w:rPr>
          <w:rFonts w:asciiTheme="minorHAnsi" w:hAnsiTheme="minorHAnsi"/>
          <w:sz w:val="20"/>
          <w:szCs w:val="20"/>
        </w:rPr>
      </w:pPr>
      <w:r w:rsidRPr="004D26E1">
        <w:rPr>
          <w:rFonts w:asciiTheme="minorHAnsi" w:hAnsiTheme="minorHAnsi"/>
          <w:sz w:val="20"/>
          <w:szCs w:val="20"/>
        </w:rPr>
        <w:t>Depuis le Grenelle de l’environnement (2009-2010), la législation sur la performance énergétique et environnementale du patrimoine bâti français s’est étoffée. Outre la Règlementation Thermique 2012 qui fixe une consommation d’énergie primaire de 50 kWh/m².an, la Loi de transition énergétique pour la croissance verte (août 2015) assigne un chemin ambitieux :</w:t>
      </w:r>
    </w:p>
    <w:p w:rsidR="001C7208" w:rsidRPr="004D26E1" w:rsidRDefault="001C7208" w:rsidP="001C7208">
      <w:pPr>
        <w:pStyle w:val="Paragraphedeliste"/>
        <w:numPr>
          <w:ilvl w:val="0"/>
          <w:numId w:val="1"/>
        </w:numPr>
        <w:shd w:val="clear" w:color="auto" w:fill="auto"/>
        <w:spacing w:before="60"/>
        <w:ind w:left="340" w:hanging="170"/>
        <w:jc w:val="both"/>
        <w:rPr>
          <w:rFonts w:asciiTheme="minorHAnsi" w:hAnsiTheme="minorHAnsi"/>
          <w:sz w:val="20"/>
          <w:szCs w:val="20"/>
        </w:rPr>
      </w:pPr>
      <w:r w:rsidRPr="004D26E1">
        <w:rPr>
          <w:rFonts w:asciiTheme="minorHAnsi" w:hAnsiTheme="minorHAnsi"/>
          <w:sz w:val="20"/>
          <w:szCs w:val="20"/>
        </w:rPr>
        <w:t xml:space="preserve">Réduire les </w:t>
      </w:r>
      <w:r w:rsidRPr="004D26E1">
        <w:rPr>
          <w:rFonts w:asciiTheme="minorHAnsi" w:hAnsiTheme="minorHAnsi"/>
          <w:b/>
          <w:sz w:val="20"/>
          <w:szCs w:val="20"/>
        </w:rPr>
        <w:t>émissions de gaz à effet de serre</w:t>
      </w:r>
      <w:r w:rsidRPr="004D26E1">
        <w:rPr>
          <w:rFonts w:asciiTheme="minorHAnsi" w:hAnsiTheme="minorHAnsi"/>
          <w:sz w:val="20"/>
          <w:szCs w:val="20"/>
        </w:rPr>
        <w:t xml:space="preserve"> de 40 % entre 1990 et 2030 et diviser par quatre les émissions de gaz à effet de serre entre 1990 et 2050 (facteur 4) ;</w:t>
      </w:r>
    </w:p>
    <w:p w:rsidR="001C7208" w:rsidRPr="004D26E1" w:rsidRDefault="001C7208" w:rsidP="001C7208">
      <w:pPr>
        <w:pStyle w:val="Paragraphedeliste"/>
        <w:numPr>
          <w:ilvl w:val="0"/>
          <w:numId w:val="1"/>
        </w:numPr>
        <w:shd w:val="clear" w:color="auto" w:fill="auto"/>
        <w:spacing w:before="60"/>
        <w:ind w:left="340" w:hanging="170"/>
        <w:jc w:val="both"/>
        <w:rPr>
          <w:rFonts w:asciiTheme="minorHAnsi" w:hAnsiTheme="minorHAnsi"/>
          <w:sz w:val="20"/>
          <w:szCs w:val="20"/>
        </w:rPr>
      </w:pPr>
      <w:r w:rsidRPr="004D26E1">
        <w:rPr>
          <w:rFonts w:asciiTheme="minorHAnsi" w:hAnsiTheme="minorHAnsi"/>
          <w:sz w:val="20"/>
          <w:szCs w:val="20"/>
        </w:rPr>
        <w:softHyphen/>
        <w:t xml:space="preserve">Réduire la </w:t>
      </w:r>
      <w:r w:rsidRPr="004D26E1">
        <w:rPr>
          <w:rFonts w:asciiTheme="minorHAnsi" w:hAnsiTheme="minorHAnsi"/>
          <w:b/>
          <w:sz w:val="20"/>
          <w:szCs w:val="20"/>
        </w:rPr>
        <w:t>consommation énergétique finale</w:t>
      </w:r>
      <w:r w:rsidRPr="004D26E1">
        <w:rPr>
          <w:rFonts w:asciiTheme="minorHAnsi" w:hAnsiTheme="minorHAnsi"/>
          <w:sz w:val="20"/>
          <w:szCs w:val="20"/>
        </w:rPr>
        <w:t xml:space="preserve"> de 50 % en 2050 par rapport à la référence 2012 en visant un objectif intermédiaire de 20 % en 2030 ;</w:t>
      </w:r>
    </w:p>
    <w:p w:rsidR="001C7208" w:rsidRPr="004D26E1" w:rsidRDefault="001C7208" w:rsidP="001C7208">
      <w:pPr>
        <w:pStyle w:val="Paragraphedeliste"/>
        <w:numPr>
          <w:ilvl w:val="0"/>
          <w:numId w:val="1"/>
        </w:numPr>
        <w:shd w:val="clear" w:color="auto" w:fill="auto"/>
        <w:spacing w:before="60"/>
        <w:ind w:left="340" w:hanging="170"/>
        <w:jc w:val="both"/>
        <w:rPr>
          <w:rFonts w:asciiTheme="minorHAnsi" w:hAnsiTheme="minorHAnsi"/>
          <w:sz w:val="20"/>
          <w:szCs w:val="20"/>
        </w:rPr>
      </w:pPr>
      <w:r w:rsidRPr="004D26E1">
        <w:rPr>
          <w:rFonts w:asciiTheme="minorHAnsi" w:hAnsiTheme="minorHAnsi"/>
          <w:sz w:val="20"/>
          <w:szCs w:val="20"/>
        </w:rPr>
        <w:t>Réduire la consommation énergétique primaire d’</w:t>
      </w:r>
      <w:r w:rsidRPr="004D26E1">
        <w:rPr>
          <w:rFonts w:asciiTheme="minorHAnsi" w:hAnsiTheme="minorHAnsi"/>
          <w:b/>
          <w:sz w:val="20"/>
          <w:szCs w:val="20"/>
        </w:rPr>
        <w:t>énergies fossiles</w:t>
      </w:r>
      <w:r w:rsidRPr="004D26E1">
        <w:rPr>
          <w:rFonts w:asciiTheme="minorHAnsi" w:hAnsiTheme="minorHAnsi"/>
          <w:sz w:val="20"/>
          <w:szCs w:val="20"/>
        </w:rPr>
        <w:t xml:space="preserve"> de 30 % en 2030 par rapport à la référence 2012 ; porter la part des </w:t>
      </w:r>
      <w:r w:rsidRPr="004D26E1">
        <w:rPr>
          <w:rFonts w:asciiTheme="minorHAnsi" w:hAnsiTheme="minorHAnsi"/>
          <w:b/>
          <w:sz w:val="20"/>
          <w:szCs w:val="20"/>
        </w:rPr>
        <w:t>énergies renouvelables</w:t>
      </w:r>
      <w:r w:rsidRPr="004D26E1">
        <w:rPr>
          <w:rFonts w:asciiTheme="minorHAnsi" w:hAnsiTheme="minorHAnsi"/>
          <w:sz w:val="20"/>
          <w:szCs w:val="20"/>
        </w:rPr>
        <w:t xml:space="preserve"> à 23 % de la consommation finale brute d’énergie en 2020 et à 32 % de la consommation finale brute d’énergie en 2030 ; et porter la part du </w:t>
      </w:r>
      <w:r w:rsidRPr="004D26E1">
        <w:rPr>
          <w:rFonts w:asciiTheme="minorHAnsi" w:hAnsiTheme="minorHAnsi"/>
          <w:b/>
          <w:sz w:val="20"/>
          <w:szCs w:val="20"/>
        </w:rPr>
        <w:t>nucléaire</w:t>
      </w:r>
      <w:r w:rsidRPr="004D26E1">
        <w:rPr>
          <w:rFonts w:asciiTheme="minorHAnsi" w:hAnsiTheme="minorHAnsi"/>
          <w:sz w:val="20"/>
          <w:szCs w:val="20"/>
        </w:rPr>
        <w:t xml:space="preserve"> dans la production d’électricité à 50 % à l’horizon 2025 ;</w:t>
      </w:r>
    </w:p>
    <w:p w:rsidR="001C7208" w:rsidRPr="004D26E1" w:rsidRDefault="001C7208" w:rsidP="001C7208">
      <w:pPr>
        <w:pStyle w:val="Paragraphedeliste"/>
        <w:keepNext w:val="0"/>
        <w:widowControl/>
        <w:numPr>
          <w:ilvl w:val="0"/>
          <w:numId w:val="1"/>
        </w:numPr>
        <w:shd w:val="clear" w:color="auto" w:fill="auto"/>
        <w:suppressAutoHyphens w:val="0"/>
        <w:spacing w:before="60"/>
        <w:ind w:left="340" w:hanging="170"/>
        <w:textAlignment w:val="auto"/>
        <w:rPr>
          <w:rFonts w:asciiTheme="minorHAnsi" w:hAnsiTheme="minorHAnsi"/>
          <w:sz w:val="20"/>
          <w:szCs w:val="20"/>
        </w:rPr>
      </w:pPr>
      <w:r w:rsidRPr="004D26E1">
        <w:rPr>
          <w:rFonts w:asciiTheme="minorHAnsi" w:hAnsiTheme="minorHAnsi"/>
          <w:sz w:val="20"/>
          <w:szCs w:val="20"/>
        </w:rPr>
        <w:t xml:space="preserve">Atteindre un niveau de performance énergétique conforme aux normes « bâtiment basse consommation » pour l’ensemble du </w:t>
      </w:r>
      <w:r w:rsidRPr="004D26E1">
        <w:rPr>
          <w:rFonts w:asciiTheme="minorHAnsi" w:hAnsiTheme="minorHAnsi"/>
          <w:b/>
          <w:sz w:val="20"/>
          <w:szCs w:val="20"/>
        </w:rPr>
        <w:t>parc de logements</w:t>
      </w:r>
      <w:r w:rsidRPr="004D26E1">
        <w:rPr>
          <w:rFonts w:asciiTheme="minorHAnsi" w:hAnsiTheme="minorHAnsi"/>
          <w:sz w:val="20"/>
          <w:szCs w:val="20"/>
        </w:rPr>
        <w:t xml:space="preserve"> à 2050 ;</w:t>
      </w:r>
    </w:p>
    <w:p w:rsidR="001C7208" w:rsidRPr="004D26E1" w:rsidRDefault="001C7208" w:rsidP="001C7208">
      <w:pPr>
        <w:pStyle w:val="Paragraphedeliste"/>
        <w:keepNext w:val="0"/>
        <w:widowControl/>
        <w:numPr>
          <w:ilvl w:val="0"/>
          <w:numId w:val="1"/>
        </w:numPr>
        <w:shd w:val="clear" w:color="auto" w:fill="auto"/>
        <w:suppressAutoHyphens w:val="0"/>
        <w:spacing w:before="60"/>
        <w:ind w:left="340" w:hanging="170"/>
        <w:textAlignment w:val="auto"/>
        <w:rPr>
          <w:rFonts w:asciiTheme="minorHAnsi" w:hAnsiTheme="minorHAnsi"/>
          <w:sz w:val="20"/>
          <w:szCs w:val="20"/>
        </w:rPr>
      </w:pPr>
      <w:r w:rsidRPr="004D26E1">
        <w:rPr>
          <w:rFonts w:asciiTheme="minorHAnsi" w:hAnsiTheme="minorHAnsi"/>
          <w:sz w:val="20"/>
          <w:szCs w:val="20"/>
        </w:rPr>
        <w:t xml:space="preserve">Réduire de 50 % la quantité de </w:t>
      </w:r>
      <w:r w:rsidRPr="004D26E1">
        <w:rPr>
          <w:rFonts w:asciiTheme="minorHAnsi" w:hAnsiTheme="minorHAnsi"/>
          <w:b/>
          <w:sz w:val="20"/>
          <w:szCs w:val="20"/>
        </w:rPr>
        <w:t>déchets</w:t>
      </w:r>
      <w:r w:rsidRPr="004D26E1">
        <w:rPr>
          <w:rFonts w:asciiTheme="minorHAnsi" w:hAnsiTheme="minorHAnsi"/>
          <w:sz w:val="20"/>
          <w:szCs w:val="20"/>
        </w:rPr>
        <w:t xml:space="preserve"> mis en décharge à l’horizon 2025 et découpler progressivement la croissance économique et la consommation matières premières.</w:t>
      </w:r>
    </w:p>
    <w:p w:rsidR="001C7208" w:rsidRPr="004D26E1" w:rsidRDefault="001C7208" w:rsidP="001C7208">
      <w:pPr>
        <w:keepNext w:val="0"/>
        <w:widowControl/>
        <w:shd w:val="clear" w:color="auto" w:fill="auto"/>
        <w:suppressAutoHyphens w:val="0"/>
        <w:textAlignment w:val="auto"/>
        <w:rPr>
          <w:rFonts w:asciiTheme="minorHAnsi" w:hAnsiTheme="minorHAnsi"/>
          <w:sz w:val="20"/>
          <w:szCs w:val="20"/>
        </w:rPr>
      </w:pPr>
    </w:p>
    <w:p w:rsidR="00EA2419" w:rsidRDefault="00EA2419" w:rsidP="00EA2419">
      <w:pPr>
        <w:jc w:val="both"/>
        <w:rPr>
          <w:rFonts w:asciiTheme="minorHAnsi" w:eastAsia="Times New Roman" w:hAnsiTheme="minorHAnsi" w:cstheme="minorHAnsi"/>
          <w:iCs/>
          <w:sz w:val="20"/>
        </w:rPr>
      </w:pPr>
      <w:r>
        <w:rPr>
          <w:rFonts w:asciiTheme="minorHAnsi" w:hAnsiTheme="minorHAnsi"/>
          <w:sz w:val="20"/>
          <w:szCs w:val="20"/>
        </w:rPr>
        <w:t xml:space="preserve">Parallèlement, </w:t>
      </w:r>
      <w:r>
        <w:rPr>
          <w:rFonts w:asciiTheme="minorHAnsi" w:eastAsia="Times New Roman" w:hAnsiTheme="minorHAnsi" w:cstheme="minorHAnsi"/>
          <w:iCs/>
          <w:sz w:val="20"/>
        </w:rPr>
        <w:t>i</w:t>
      </w:r>
      <w:r w:rsidRPr="00BC26B9">
        <w:rPr>
          <w:rFonts w:asciiTheme="minorHAnsi" w:eastAsia="Times New Roman" w:hAnsiTheme="minorHAnsi" w:cstheme="minorHAnsi"/>
          <w:iCs/>
          <w:sz w:val="20"/>
        </w:rPr>
        <w:t>ssue du décret tertiaire (article 175 de la loi Élan</w:t>
      </w:r>
      <w:r>
        <w:rPr>
          <w:rFonts w:asciiTheme="minorHAnsi" w:eastAsia="Times New Roman" w:hAnsiTheme="minorHAnsi" w:cstheme="minorHAnsi"/>
          <w:iCs/>
          <w:sz w:val="20"/>
        </w:rPr>
        <w:t xml:space="preserve"> – novembre 2018</w:t>
      </w:r>
      <w:r w:rsidRPr="00BC26B9">
        <w:rPr>
          <w:rFonts w:asciiTheme="minorHAnsi" w:eastAsia="Times New Roman" w:hAnsiTheme="minorHAnsi" w:cstheme="minorHAnsi"/>
          <w:iCs/>
          <w:sz w:val="20"/>
        </w:rPr>
        <w:t xml:space="preserve">), la </w:t>
      </w:r>
      <w:r w:rsidRPr="00A36087">
        <w:rPr>
          <w:rFonts w:asciiTheme="minorHAnsi" w:eastAsia="Times New Roman" w:hAnsiTheme="minorHAnsi" w:cstheme="minorHAnsi"/>
          <w:b/>
          <w:iCs/>
          <w:sz w:val="20"/>
        </w:rPr>
        <w:t>réglementation Éco Énergie Tertiaire</w:t>
      </w:r>
      <w:r w:rsidRPr="00BC26B9">
        <w:rPr>
          <w:rFonts w:asciiTheme="minorHAnsi" w:eastAsia="Times New Roman" w:hAnsiTheme="minorHAnsi" w:cstheme="minorHAnsi"/>
          <w:iCs/>
          <w:sz w:val="20"/>
        </w:rPr>
        <w:t xml:space="preserve"> (EET) impose une réduction progressive de la consommation d’énergie dans les bâtiments à usage tertiaire afin de lutter contre le changement climatique. Elle s'applique à toutes les constructions existantes et neuves, dont les bâtiments ont une surface d’activité tertiaire (ou un cumul de surfaces) égale ou supérieure à 1 000 m² et fixe un objectif de réduction des consommations d’énergie finale de l’ensemble du parc tertiaire d’au moins -40 % en 2030, -50 % en 2040, -60 % en 2050 (par rapport à 2010).</w:t>
      </w:r>
    </w:p>
    <w:p w:rsidR="00EA2419" w:rsidRPr="00BC26B9" w:rsidRDefault="00EA2419" w:rsidP="00EA2419">
      <w:pPr>
        <w:jc w:val="both"/>
        <w:rPr>
          <w:rFonts w:asciiTheme="minorHAnsi" w:eastAsia="Times New Roman" w:hAnsiTheme="minorHAnsi" w:cstheme="minorHAnsi"/>
          <w:sz w:val="20"/>
        </w:rPr>
      </w:pPr>
      <w:r w:rsidRPr="00BC26B9">
        <w:rPr>
          <w:rFonts w:asciiTheme="minorHAnsi" w:eastAsia="Times New Roman" w:hAnsiTheme="minorHAnsi" w:cstheme="minorHAnsi"/>
          <w:iCs/>
          <w:sz w:val="20"/>
        </w:rPr>
        <w:t>Pour plus d'information : </w:t>
      </w:r>
      <w:hyperlink r:id="rId5" w:history="1">
        <w:r w:rsidRPr="00BC26B9">
          <w:rPr>
            <w:rStyle w:val="Lienhypertexte"/>
            <w:rFonts w:asciiTheme="minorHAnsi" w:eastAsia="Times New Roman" w:hAnsiTheme="minorHAnsi" w:cstheme="minorHAnsi"/>
            <w:iCs/>
            <w:sz w:val="20"/>
          </w:rPr>
          <w:t>https://www.ecologie.gouv.fr/eco-energie-tertiaire-eet</w:t>
        </w:r>
      </w:hyperlink>
    </w:p>
    <w:p w:rsidR="00EA2419" w:rsidRDefault="00EA2419" w:rsidP="001C7208">
      <w:pPr>
        <w:keepNext w:val="0"/>
        <w:widowControl/>
        <w:shd w:val="clear" w:color="auto" w:fill="auto"/>
        <w:suppressAutoHyphens w:val="0"/>
        <w:jc w:val="both"/>
        <w:textAlignment w:val="auto"/>
        <w:rPr>
          <w:rFonts w:asciiTheme="minorHAnsi" w:hAnsiTheme="minorHAnsi"/>
          <w:sz w:val="20"/>
          <w:szCs w:val="20"/>
        </w:rPr>
      </w:pPr>
    </w:p>
    <w:p w:rsidR="001C7208" w:rsidRPr="004D26E1" w:rsidRDefault="001C7208" w:rsidP="001C7208">
      <w:pPr>
        <w:keepNext w:val="0"/>
        <w:widowControl/>
        <w:shd w:val="clear" w:color="auto" w:fill="auto"/>
        <w:suppressAutoHyphens w:val="0"/>
        <w:jc w:val="both"/>
        <w:textAlignment w:val="auto"/>
        <w:rPr>
          <w:rFonts w:asciiTheme="minorHAnsi" w:hAnsiTheme="minorHAnsi"/>
          <w:sz w:val="20"/>
          <w:szCs w:val="20"/>
        </w:rPr>
      </w:pPr>
      <w:r w:rsidRPr="004D26E1">
        <w:rPr>
          <w:rFonts w:asciiTheme="minorHAnsi" w:hAnsiTheme="minorHAnsi"/>
          <w:sz w:val="20"/>
          <w:szCs w:val="20"/>
        </w:rPr>
        <w:t xml:space="preserve">Repris par la loi Energie climat (novembre 2019), nombre de ces objectifs sont applicables au secteur du bâtiment, pour leur rénovation (Plan national de rénovation énergétique des bâtiments - avril 2018, Décret tertiaire </w:t>
      </w:r>
      <w:r>
        <w:rPr>
          <w:rFonts w:asciiTheme="minorHAnsi" w:hAnsiTheme="minorHAnsi"/>
          <w:sz w:val="20"/>
          <w:szCs w:val="20"/>
        </w:rPr>
        <w:t>-</w:t>
      </w:r>
      <w:r w:rsidRPr="004D26E1">
        <w:rPr>
          <w:rFonts w:asciiTheme="minorHAnsi" w:hAnsiTheme="minorHAnsi"/>
          <w:sz w:val="20"/>
          <w:szCs w:val="20"/>
        </w:rPr>
        <w:t xml:space="preserve"> juillet 2019) ou la construction neuve (expérimentation E+C- et Règlementation </w:t>
      </w:r>
      <w:r>
        <w:rPr>
          <w:rFonts w:asciiTheme="minorHAnsi" w:hAnsiTheme="minorHAnsi"/>
          <w:sz w:val="20"/>
          <w:szCs w:val="20"/>
        </w:rPr>
        <w:t>E</w:t>
      </w:r>
      <w:r w:rsidRPr="004D26E1">
        <w:rPr>
          <w:rFonts w:asciiTheme="minorHAnsi" w:hAnsiTheme="minorHAnsi"/>
          <w:sz w:val="20"/>
          <w:szCs w:val="20"/>
        </w:rPr>
        <w:t xml:space="preserve">nvironnementale 2020). </w:t>
      </w:r>
      <w:r w:rsidRPr="004D26E1">
        <w:rPr>
          <w:rFonts w:asciiTheme="minorHAnsi" w:hAnsiTheme="minorHAnsi"/>
          <w:b/>
          <w:sz w:val="20"/>
          <w:szCs w:val="20"/>
        </w:rPr>
        <w:t>L’objectif visé est la neutralité Carbone à l’horizon 2050</w:t>
      </w:r>
      <w:r w:rsidRPr="004D26E1">
        <w:rPr>
          <w:rFonts w:asciiTheme="minorHAnsi" w:hAnsiTheme="minorHAnsi"/>
          <w:sz w:val="20"/>
          <w:szCs w:val="20"/>
        </w:rPr>
        <w:t>.</w:t>
      </w:r>
    </w:p>
    <w:p w:rsidR="001C7208" w:rsidRPr="004D26E1" w:rsidRDefault="001C7208" w:rsidP="001C7208">
      <w:pPr>
        <w:shd w:val="clear" w:color="auto" w:fill="auto"/>
        <w:jc w:val="both"/>
        <w:rPr>
          <w:rFonts w:asciiTheme="minorHAnsi" w:eastAsia="Times New Roman" w:hAnsiTheme="minorHAnsi" w:cs="Georgia"/>
          <w:b/>
          <w:sz w:val="20"/>
          <w:szCs w:val="20"/>
          <w:lang w:bidi="ar-SA"/>
        </w:rPr>
      </w:pPr>
    </w:p>
    <w:p w:rsidR="001C7208" w:rsidRPr="0077252B" w:rsidRDefault="001C7208" w:rsidP="001C7208">
      <w:pPr>
        <w:shd w:val="clear" w:color="auto" w:fill="auto"/>
        <w:jc w:val="both"/>
        <w:rPr>
          <w:rFonts w:asciiTheme="minorHAnsi" w:hAnsiTheme="minorHAnsi"/>
          <w:strike/>
          <w:sz w:val="20"/>
          <w:szCs w:val="20"/>
        </w:rPr>
      </w:pPr>
      <w:r w:rsidRPr="004D26E1">
        <w:rPr>
          <w:rFonts w:asciiTheme="minorHAnsi" w:eastAsia="Times New Roman" w:hAnsiTheme="minorHAnsi" w:cs="Georgia"/>
          <w:b/>
          <w:sz w:val="20"/>
          <w:szCs w:val="20"/>
          <w:lang w:bidi="ar-SA"/>
        </w:rPr>
        <w:t>En Bretagne</w:t>
      </w:r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>, la diminution des consommations d'énergie et des gaz à effet de serre est un enjeu essentiel. Le bâtimen</w:t>
      </w:r>
      <w:r w:rsidRPr="004D26E1">
        <w:rPr>
          <w:rFonts w:asciiTheme="minorHAnsi" w:hAnsiTheme="minorHAnsi"/>
          <w:sz w:val="20"/>
          <w:szCs w:val="20"/>
        </w:rPr>
        <w:t xml:space="preserve">t est le poste de consommation d’énergie le plus important, avec 45% des consommations d’énergie finale. </w:t>
      </w:r>
    </w:p>
    <w:p w:rsidR="001C7208" w:rsidRPr="004D26E1" w:rsidRDefault="001C7208" w:rsidP="001C7208">
      <w:pPr>
        <w:shd w:val="clear" w:color="auto" w:fill="auto"/>
        <w:jc w:val="both"/>
        <w:rPr>
          <w:rFonts w:asciiTheme="minorHAnsi" w:eastAsia="Times New Roman" w:hAnsiTheme="minorHAnsi" w:cs="Georgia"/>
          <w:sz w:val="20"/>
          <w:szCs w:val="20"/>
          <w:lang w:bidi="ar-SA"/>
        </w:rPr>
      </w:pPr>
    </w:p>
    <w:p w:rsidR="001C7208" w:rsidRPr="004D26E1" w:rsidRDefault="001C7208" w:rsidP="001C7208">
      <w:pPr>
        <w:shd w:val="clear" w:color="auto" w:fill="auto"/>
        <w:jc w:val="both"/>
        <w:rPr>
          <w:rFonts w:asciiTheme="minorHAnsi" w:eastAsia="Times New Roman" w:hAnsiTheme="minorHAnsi" w:cs="Georgia"/>
          <w:sz w:val="20"/>
          <w:szCs w:val="20"/>
          <w:lang w:bidi="ar-SA"/>
        </w:rPr>
      </w:pPr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>Le Conseil régional, l'ADEME et l'Etat contribuent à la mutation de la filière bâtiment vers une économie bas carbone et la réalisation de bâtiments et d'équipements</w:t>
      </w:r>
      <w:r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 plus sains et</w:t>
      </w:r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 respectueux de l'environnement</w:t>
      </w:r>
      <w:r>
        <w:rPr>
          <w:rFonts w:asciiTheme="minorHAnsi" w:eastAsia="Times New Roman" w:hAnsiTheme="minorHAnsi" w:cs="Georgia"/>
          <w:sz w:val="20"/>
          <w:szCs w:val="20"/>
          <w:lang w:bidi="ar-SA"/>
        </w:rPr>
        <w:t>, et producteurs d’énergie</w:t>
      </w:r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. Cela passe à la fois par : </w:t>
      </w:r>
    </w:p>
    <w:p w:rsidR="001C7208" w:rsidRPr="009E1339" w:rsidRDefault="001C7208" w:rsidP="001C7208">
      <w:pPr>
        <w:pStyle w:val="Paragraphedeliste"/>
        <w:numPr>
          <w:ilvl w:val="0"/>
          <w:numId w:val="2"/>
        </w:numPr>
        <w:shd w:val="clear" w:color="auto" w:fill="auto"/>
        <w:spacing w:before="60"/>
        <w:ind w:left="340" w:hanging="170"/>
        <w:jc w:val="both"/>
        <w:rPr>
          <w:rFonts w:asciiTheme="minorHAnsi" w:eastAsia="Times New Roman" w:hAnsiTheme="minorHAnsi" w:cs="Georgia"/>
          <w:sz w:val="20"/>
          <w:szCs w:val="20"/>
          <w:lang w:bidi="ar-SA"/>
        </w:rPr>
      </w:pPr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La recherche de solutions pour le </w:t>
      </w:r>
      <w:r w:rsidRPr="004D26E1">
        <w:rPr>
          <w:rFonts w:asciiTheme="minorHAnsi" w:eastAsia="Times New Roman" w:hAnsiTheme="minorHAnsi" w:cs="Georgia"/>
          <w:b/>
          <w:sz w:val="20"/>
          <w:szCs w:val="20"/>
          <w:lang w:bidi="ar-SA"/>
        </w:rPr>
        <w:t>développement de la massification de la rénovation</w:t>
      </w:r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 (sensibilisation, techniques de mises en œuvre, formation, outils financier, ...) : le soutien à l’ingénierie locale en constitue l’élément principal </w:t>
      </w:r>
      <w:r w:rsidRPr="009E1339"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(réseaux </w:t>
      </w:r>
      <w:proofErr w:type="spellStart"/>
      <w:r w:rsidRPr="009E1339">
        <w:rPr>
          <w:rFonts w:asciiTheme="minorHAnsi" w:eastAsia="Times New Roman" w:hAnsiTheme="minorHAnsi" w:cs="Georgia"/>
          <w:sz w:val="20"/>
          <w:szCs w:val="20"/>
          <w:lang w:bidi="ar-SA"/>
        </w:rPr>
        <w:t>Rénov’Habitat</w:t>
      </w:r>
      <w:proofErr w:type="spellEnd"/>
      <w:r w:rsidRPr="009E1339"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 Bretagne, C</w:t>
      </w:r>
      <w:r>
        <w:rPr>
          <w:rFonts w:asciiTheme="minorHAnsi" w:eastAsia="Times New Roman" w:hAnsiTheme="minorHAnsi" w:cs="Georgia"/>
          <w:sz w:val="20"/>
          <w:szCs w:val="20"/>
          <w:lang w:bidi="ar-SA"/>
        </w:rPr>
        <w:t>onseillers en énergie partagés</w:t>
      </w:r>
      <w:r w:rsidRPr="009E1339">
        <w:rPr>
          <w:rFonts w:asciiTheme="minorHAnsi" w:eastAsia="Times New Roman" w:hAnsiTheme="minorHAnsi" w:cs="Georgia"/>
          <w:sz w:val="20"/>
          <w:szCs w:val="20"/>
          <w:lang w:bidi="ar-SA"/>
        </w:rPr>
        <w:t>…) ;</w:t>
      </w:r>
    </w:p>
    <w:p w:rsidR="001C7208" w:rsidRPr="004D26E1" w:rsidRDefault="001C7208" w:rsidP="001C7208">
      <w:pPr>
        <w:pStyle w:val="Paragraphedeliste"/>
        <w:numPr>
          <w:ilvl w:val="0"/>
          <w:numId w:val="2"/>
        </w:numPr>
        <w:shd w:val="clear" w:color="auto" w:fill="auto"/>
        <w:spacing w:before="60"/>
        <w:ind w:left="340" w:hanging="170"/>
        <w:jc w:val="both"/>
        <w:rPr>
          <w:rFonts w:asciiTheme="minorHAnsi" w:eastAsia="Times New Roman" w:hAnsiTheme="minorHAnsi" w:cs="Georgia"/>
          <w:sz w:val="20"/>
          <w:szCs w:val="20"/>
          <w:lang w:bidi="ar-SA"/>
        </w:rPr>
      </w:pPr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Mais aussi par le </w:t>
      </w:r>
      <w:r w:rsidRPr="004D26E1">
        <w:rPr>
          <w:rFonts w:asciiTheme="minorHAnsi" w:eastAsia="Times New Roman" w:hAnsiTheme="minorHAnsi" w:cs="Georgia"/>
          <w:b/>
          <w:sz w:val="20"/>
          <w:szCs w:val="20"/>
          <w:lang w:bidi="ar-SA"/>
        </w:rPr>
        <w:t>soutien aux initiatives locales permettant d’expérimenter et de tester de nouvelles solutions</w:t>
      </w:r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 répondant à la fois aux enjeux énergétiques et environnementaux.</w:t>
      </w:r>
    </w:p>
    <w:p w:rsidR="001C7208" w:rsidRPr="004D26E1" w:rsidRDefault="001C7208" w:rsidP="001C7208">
      <w:pPr>
        <w:shd w:val="clear" w:color="auto" w:fill="auto"/>
        <w:jc w:val="both"/>
        <w:rPr>
          <w:rFonts w:asciiTheme="minorHAnsi" w:eastAsia="Times New Roman" w:hAnsiTheme="minorHAnsi" w:cs="Georgia"/>
          <w:sz w:val="20"/>
          <w:szCs w:val="20"/>
          <w:lang w:bidi="ar-SA"/>
        </w:rPr>
      </w:pPr>
    </w:p>
    <w:p w:rsidR="001C7208" w:rsidRPr="004D26E1" w:rsidRDefault="001C7208" w:rsidP="001C7208">
      <w:pPr>
        <w:shd w:val="clear" w:color="auto" w:fill="auto"/>
        <w:tabs>
          <w:tab w:val="left" w:pos="2268"/>
          <w:tab w:val="left" w:pos="6237"/>
        </w:tabs>
        <w:jc w:val="both"/>
        <w:rPr>
          <w:rFonts w:asciiTheme="minorHAnsi" w:hAnsiTheme="minorHAnsi" w:cs="Arial"/>
          <w:sz w:val="20"/>
          <w:szCs w:val="20"/>
        </w:rPr>
      </w:pPr>
      <w:r w:rsidRPr="004D26E1">
        <w:rPr>
          <w:rFonts w:asciiTheme="minorHAnsi" w:hAnsiTheme="minorHAnsi" w:cs="Arial"/>
          <w:sz w:val="20"/>
          <w:szCs w:val="20"/>
        </w:rPr>
        <w:t xml:space="preserve">Ainsi, à travers le présent </w:t>
      </w:r>
      <w:r>
        <w:rPr>
          <w:rFonts w:asciiTheme="minorHAnsi" w:hAnsiTheme="minorHAnsi" w:cs="Arial"/>
          <w:sz w:val="20"/>
          <w:szCs w:val="20"/>
        </w:rPr>
        <w:t>a</w:t>
      </w:r>
      <w:r w:rsidRPr="004D26E1">
        <w:rPr>
          <w:rFonts w:asciiTheme="minorHAnsi" w:hAnsiTheme="minorHAnsi" w:cs="Arial"/>
          <w:sz w:val="20"/>
          <w:szCs w:val="20"/>
        </w:rPr>
        <w:t xml:space="preserve">ppel à projets, les partenaires régionaux souhaitent </w:t>
      </w:r>
      <w:r w:rsidRPr="004D26E1">
        <w:rPr>
          <w:rFonts w:asciiTheme="minorHAnsi" w:hAnsiTheme="minorHAnsi" w:cs="Arial"/>
          <w:b/>
          <w:sz w:val="20"/>
          <w:szCs w:val="20"/>
        </w:rPr>
        <w:t xml:space="preserve">soutenir la réalisation d'opérations </w:t>
      </w:r>
      <w:r>
        <w:rPr>
          <w:rFonts w:asciiTheme="minorHAnsi" w:hAnsiTheme="minorHAnsi" w:cs="Arial"/>
          <w:b/>
          <w:sz w:val="20"/>
          <w:szCs w:val="20"/>
        </w:rPr>
        <w:t xml:space="preserve">de rénovation </w:t>
      </w:r>
      <w:r w:rsidRPr="004D26E1">
        <w:rPr>
          <w:rFonts w:asciiTheme="minorHAnsi" w:hAnsiTheme="minorHAnsi" w:cs="Arial"/>
          <w:b/>
          <w:sz w:val="20"/>
          <w:szCs w:val="20"/>
        </w:rPr>
        <w:t>qui visent à favoriser l’exemplarité et l’innovation</w:t>
      </w:r>
      <w:r>
        <w:rPr>
          <w:rFonts w:asciiTheme="minorHAnsi" w:hAnsiTheme="minorHAnsi" w:cs="Arial"/>
          <w:sz w:val="20"/>
          <w:szCs w:val="20"/>
        </w:rPr>
        <w:t>.</w:t>
      </w:r>
    </w:p>
    <w:p w:rsidR="007E034F" w:rsidRDefault="007E034F"/>
    <w:sectPr w:rsidR="007E0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881"/>
    <w:multiLevelType w:val="hybridMultilevel"/>
    <w:tmpl w:val="E0326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61692"/>
    <w:multiLevelType w:val="hybridMultilevel"/>
    <w:tmpl w:val="26922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7B"/>
    <w:rsid w:val="001C7208"/>
    <w:rsid w:val="00360D85"/>
    <w:rsid w:val="007E034F"/>
    <w:rsid w:val="00BA0C7B"/>
    <w:rsid w:val="00EA2419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BC73"/>
  <w15:chartTrackingRefBased/>
  <w15:docId w15:val="{3492E11D-BF70-471E-80ED-400566A2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C7B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Arial" w:eastAsia="SimSun" w:hAnsi="Arial" w:cs="Mangal"/>
      <w:sz w:val="21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ettre d'introduction,Normal bullet 2,Paragraphe de liste2,Liste à puce - SC,Paragraphe de liste num,Paragraphe de liste 1,normal,Listes,Paragraphe de liste11,Normal avec puces tirets,Paragraphe 2"/>
    <w:basedOn w:val="Normal"/>
    <w:link w:val="ParagraphedelisteCar"/>
    <w:uiPriority w:val="34"/>
    <w:qFormat/>
    <w:rsid w:val="00BA0C7B"/>
    <w:pPr>
      <w:ind w:left="720"/>
    </w:pPr>
    <w:rPr>
      <w:rFonts w:ascii="Georgia" w:hAnsi="Georgia"/>
    </w:rPr>
  </w:style>
  <w:style w:type="character" w:customStyle="1" w:styleId="ParagraphedelisteCar">
    <w:name w:val="Paragraphe de liste Car"/>
    <w:aliases w:val="Lettre d'introduction Car,Normal bullet 2 Car,Paragraphe de liste2 Car,Liste à puce - SC Car,Paragraphe de liste num Car,Paragraphe de liste 1 Car,normal Car,Listes Car,Paragraphe de liste11 Car,Normal avec puces tirets Car"/>
    <w:link w:val="Paragraphedeliste"/>
    <w:uiPriority w:val="34"/>
    <w:qFormat/>
    <w:locked/>
    <w:rsid w:val="00BA0C7B"/>
    <w:rPr>
      <w:rFonts w:ascii="Georgia" w:eastAsia="SimSun" w:hAnsi="Georgia" w:cs="Mangal"/>
      <w:sz w:val="21"/>
      <w:szCs w:val="24"/>
      <w:shd w:val="clear" w:color="auto" w:fill="FFFFFF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EA2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ologie.gouv.fr/eco-energie-tertiaire-e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DUSSUT</dc:creator>
  <cp:keywords/>
  <dc:description/>
  <cp:lastModifiedBy>DAMIEN DUSSUT</cp:lastModifiedBy>
  <cp:revision>4</cp:revision>
  <dcterms:created xsi:type="dcterms:W3CDTF">2024-01-12T09:27:00Z</dcterms:created>
  <dcterms:modified xsi:type="dcterms:W3CDTF">2024-01-12T09:27:00Z</dcterms:modified>
</cp:coreProperties>
</file>